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xlsx" ContentType="application/vnd.openxmlformats-officedocument.spreadsheetml.sheet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BBAB8FF" w14:textId="77777777" w:rsidR="001119FC" w:rsidRDefault="00F638ED" w:rsidP="00F638ED">
      <w:pPr>
        <w:pStyle w:val="Ttulo2"/>
      </w:pPr>
      <w:r>
        <w:t>Nivel Estatal</w:t>
      </w:r>
    </w:p>
    <w:p w14:paraId="1557C14B" w14:textId="6BC00880" w:rsidR="00F638ED" w:rsidRDefault="00FC38D7" w:rsidP="00F638ED">
      <w:r>
        <w:t>La idea es que estas gráficas estén en el apartado donde aparece la escalera de la participación.</w:t>
      </w:r>
    </w:p>
    <w:p w14:paraId="5D0BD264" w14:textId="77777777" w:rsidR="00FC38D7" w:rsidRDefault="00FC38D7" w:rsidP="00F638ED"/>
    <w:p w14:paraId="50926C3D" w14:textId="358396B2" w:rsidR="00FC38D7" w:rsidRDefault="00F638ED" w:rsidP="00F638ED">
      <w:r>
        <w:t xml:space="preserve">Composición de la oferta de participación ciudadana a nivel estatal, según el tipo de mecanismos de </w:t>
      </w:r>
      <w:r w:rsidR="0083718A">
        <w:t>participación</w:t>
      </w:r>
      <w:r w:rsidR="00FC38D7">
        <w:t>.</w:t>
      </w:r>
    </w:p>
    <w:p w14:paraId="72E4E96D" w14:textId="6B6393F8" w:rsidR="00FC38D7" w:rsidRDefault="00785568" w:rsidP="00F638ED">
      <w:r>
        <w:rPr>
          <w:noProof/>
          <w:lang w:val="es-ES"/>
        </w:rPr>
        <w:drawing>
          <wp:inline distT="0" distB="0" distL="0" distR="0" wp14:anchorId="6630713A" wp14:editId="5EC2E5A8">
            <wp:extent cx="5612130" cy="6318462"/>
            <wp:effectExtent l="0" t="0" r="26670" b="31750"/>
            <wp:docPr id="4" name="Gráfico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</w:p>
    <w:p w14:paraId="52DC007E" w14:textId="3DE389E2" w:rsidR="00FC38D7" w:rsidRDefault="00FC38D7" w:rsidP="00F638ED"/>
    <w:p w14:paraId="09A7D1DA" w14:textId="77777777" w:rsidR="00F638ED" w:rsidRDefault="00F638ED" w:rsidP="00F638ED"/>
    <w:p w14:paraId="062A3BF1" w14:textId="77777777" w:rsidR="00F638ED" w:rsidRPr="00F638ED" w:rsidRDefault="00F638ED" w:rsidP="00F638ED">
      <w:r>
        <w:rPr>
          <w:noProof/>
          <w:lang w:val="es-ES"/>
        </w:rPr>
        <w:lastRenderedPageBreak/>
        <w:drawing>
          <wp:inline distT="0" distB="0" distL="0" distR="0" wp14:anchorId="0CC68B9C" wp14:editId="37E69CAA">
            <wp:extent cx="5612130" cy="4561628"/>
            <wp:effectExtent l="0" t="0" r="26670" b="36195"/>
            <wp:docPr id="1" name="Gráfico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14:paraId="7B65F551" w14:textId="77777777" w:rsidR="0021276B" w:rsidRDefault="0021276B"/>
    <w:p w14:paraId="1D4A3251" w14:textId="161D5AFB" w:rsidR="00F638ED" w:rsidRDefault="00F638ED"/>
    <w:p w14:paraId="427915E2" w14:textId="6E4FC9ED" w:rsidR="0053702C" w:rsidRDefault="0021276B">
      <w:r>
        <w:rPr>
          <w:noProof/>
          <w:lang w:val="es-ES"/>
        </w:rPr>
        <w:drawing>
          <wp:inline distT="0" distB="0" distL="0" distR="0" wp14:anchorId="06027E4A" wp14:editId="3BBA900C">
            <wp:extent cx="5612130" cy="5145828"/>
            <wp:effectExtent l="0" t="0" r="26670" b="36195"/>
            <wp:docPr id="8" name="Gráfico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14:paraId="3A494B61" w14:textId="7373D249" w:rsidR="0053702C" w:rsidRDefault="0053702C"/>
    <w:p w14:paraId="28DD9EA2" w14:textId="00FE7CD1" w:rsidR="00231251" w:rsidRDefault="00332D99">
      <w:r>
        <w:rPr>
          <w:noProof/>
          <w:lang w:val="es-ES"/>
        </w:rPr>
        <w:drawing>
          <wp:inline distT="0" distB="0" distL="0" distR="0" wp14:anchorId="3E07027E" wp14:editId="0C2AD412">
            <wp:extent cx="5612130" cy="5243830"/>
            <wp:effectExtent l="0" t="0" r="26670" b="13970"/>
            <wp:docPr id="12" name="Gráfico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591B70E3" w14:textId="62166298" w:rsidR="00231251" w:rsidRDefault="00231251">
      <w:bookmarkStart w:id="0" w:name="_GoBack"/>
      <w:bookmarkEnd w:id="0"/>
    </w:p>
    <w:sectPr w:rsidR="00231251" w:rsidSect="001119FC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638ED"/>
    <w:rsid w:val="00036AE8"/>
    <w:rsid w:val="001119FC"/>
    <w:rsid w:val="0021276B"/>
    <w:rsid w:val="00231251"/>
    <w:rsid w:val="00332D99"/>
    <w:rsid w:val="004C1F31"/>
    <w:rsid w:val="0053702C"/>
    <w:rsid w:val="005A5CFE"/>
    <w:rsid w:val="00785568"/>
    <w:rsid w:val="0083718A"/>
    <w:rsid w:val="00A75627"/>
    <w:rsid w:val="00E15009"/>
    <w:rsid w:val="00F638ED"/>
    <w:rsid w:val="00FC38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6E3659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638E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F638E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638E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638ED"/>
    <w:rPr>
      <w:rFonts w:ascii="Lucida Grande" w:hAnsi="Lucida Grande" w:cs="Lucida Grande"/>
      <w:sz w:val="18"/>
      <w:szCs w:val="18"/>
      <w:lang w:val="es-ES_tradnl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s-ES_tradnl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F638E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basedOn w:val="Fuentedeprrafopredeter"/>
    <w:link w:val="Ttulo2"/>
    <w:uiPriority w:val="9"/>
    <w:rsid w:val="00F638E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s-ES_tradn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638ED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638ED"/>
    <w:rPr>
      <w:rFonts w:ascii="Lucida Grande" w:hAnsi="Lucida Grande" w:cs="Lucida Grande"/>
      <w:sz w:val="18"/>
      <w:szCs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chart" Target="charts/chart1.xml"/><Relationship Id="rId7" Type="http://schemas.openxmlformats.org/officeDocument/2006/relationships/chart" Target="charts/chart2.xml"/><Relationship Id="rId8" Type="http://schemas.openxmlformats.org/officeDocument/2006/relationships/chart" Target="charts/chart3.xml"/><Relationship Id="rId9" Type="http://schemas.openxmlformats.org/officeDocument/2006/relationships/chart" Target="charts/chart4.xml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3.xlsx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Hoja_de_c_lculo_de_Microsoft_Excel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es-ES" sz="1400" b="1" i="0" baseline="0">
                <a:effectLst/>
              </a:rPr>
              <a:t>Composición de la oferta de MPC según su clasificación por grado de incidencia</a:t>
            </a:r>
            <a:endParaRPr lang="es-ES" sz="14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mecs_tipo_part!$I$2</c:f>
              <c:strCache>
                <c:ptCount val="1"/>
                <c:pt idx="0">
                  <c:v>Participación simbólica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mecs_tipo_part!$B$3:$B$34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mecs_tipo_part!$I$3:$I$34</c:f>
              <c:numCache>
                <c:formatCode>0%</c:formatCode>
                <c:ptCount val="32"/>
                <c:pt idx="0">
                  <c:v>0.0</c:v>
                </c:pt>
                <c:pt idx="1">
                  <c:v>0.2</c:v>
                </c:pt>
                <c:pt idx="2">
                  <c:v>0.0</c:v>
                </c:pt>
                <c:pt idx="3">
                  <c:v>0.0476190476190476</c:v>
                </c:pt>
                <c:pt idx="4">
                  <c:v>0.0427350427350427</c:v>
                </c:pt>
                <c:pt idx="5">
                  <c:v>0.0</c:v>
                </c:pt>
                <c:pt idx="6">
                  <c:v>0.0</c:v>
                </c:pt>
                <c:pt idx="7">
                  <c:v>0.103448275862069</c:v>
                </c:pt>
                <c:pt idx="8">
                  <c:v>0.088235294117647</c:v>
                </c:pt>
                <c:pt idx="9">
                  <c:v>0.0677966101694915</c:v>
                </c:pt>
                <c:pt idx="10">
                  <c:v>0.0833333333333333</c:v>
                </c:pt>
                <c:pt idx="11">
                  <c:v>0.25</c:v>
                </c:pt>
                <c:pt idx="12">
                  <c:v>0.0561797752808989</c:v>
                </c:pt>
                <c:pt idx="13">
                  <c:v>0.164705882352941</c:v>
                </c:pt>
                <c:pt idx="14">
                  <c:v>0.0328638497652582</c:v>
                </c:pt>
                <c:pt idx="15">
                  <c:v>0.047244094488189</c:v>
                </c:pt>
                <c:pt idx="16">
                  <c:v>0.0506329113924051</c:v>
                </c:pt>
                <c:pt idx="17">
                  <c:v>0.0740740740740741</c:v>
                </c:pt>
                <c:pt idx="18">
                  <c:v>0.146341463414634</c:v>
                </c:pt>
                <c:pt idx="19">
                  <c:v>0.101449275362319</c:v>
                </c:pt>
                <c:pt idx="20">
                  <c:v>0.142857142857143</c:v>
                </c:pt>
                <c:pt idx="21">
                  <c:v>0.0</c:v>
                </c:pt>
                <c:pt idx="22">
                  <c:v>0.0</c:v>
                </c:pt>
                <c:pt idx="23">
                  <c:v>0.0</c:v>
                </c:pt>
                <c:pt idx="24">
                  <c:v>0.0714285714285714</c:v>
                </c:pt>
                <c:pt idx="25">
                  <c:v>0.0</c:v>
                </c:pt>
                <c:pt idx="26">
                  <c:v>0.0483870967741935</c:v>
                </c:pt>
                <c:pt idx="27">
                  <c:v>0.384615384615385</c:v>
                </c:pt>
                <c:pt idx="28">
                  <c:v>0.0948275862068965</c:v>
                </c:pt>
                <c:pt idx="29">
                  <c:v>0.0447761194029851</c:v>
                </c:pt>
                <c:pt idx="30">
                  <c:v>0.00806451612903226</c:v>
                </c:pt>
                <c:pt idx="31">
                  <c:v>0.0208333333333333</c:v>
                </c:pt>
              </c:numCache>
            </c:numRef>
          </c:val>
        </c:ser>
        <c:ser>
          <c:idx val="1"/>
          <c:order val="1"/>
          <c:tx>
            <c:strRef>
              <c:f>mecs_tipo_part!$J$2</c:f>
              <c:strCache>
                <c:ptCount val="1"/>
                <c:pt idx="0">
                  <c:v>Participación consultiva o selectiva e informada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mecs_tipo_part!$B$3:$B$34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mecs_tipo_part!$J$3:$J$34</c:f>
              <c:numCache>
                <c:formatCode>0%</c:formatCode>
                <c:ptCount val="32"/>
                <c:pt idx="0">
                  <c:v>0.4</c:v>
                </c:pt>
                <c:pt idx="1">
                  <c:v>0.0</c:v>
                </c:pt>
                <c:pt idx="2">
                  <c:v>1.0</c:v>
                </c:pt>
                <c:pt idx="3">
                  <c:v>0.5</c:v>
                </c:pt>
                <c:pt idx="4">
                  <c:v>0.692307692307692</c:v>
                </c:pt>
                <c:pt idx="5">
                  <c:v>0.809523809523809</c:v>
                </c:pt>
                <c:pt idx="6">
                  <c:v>1.0</c:v>
                </c:pt>
                <c:pt idx="7">
                  <c:v>0.275862068965517</c:v>
                </c:pt>
                <c:pt idx="8">
                  <c:v>0.264705882352941</c:v>
                </c:pt>
                <c:pt idx="9">
                  <c:v>0.550847457627119</c:v>
                </c:pt>
                <c:pt idx="10">
                  <c:v>0.416666666666667</c:v>
                </c:pt>
                <c:pt idx="11">
                  <c:v>0.75</c:v>
                </c:pt>
                <c:pt idx="12">
                  <c:v>0.550561797752809</c:v>
                </c:pt>
                <c:pt idx="13">
                  <c:v>0.411764705882353</c:v>
                </c:pt>
                <c:pt idx="14">
                  <c:v>0.643192488262911</c:v>
                </c:pt>
                <c:pt idx="15">
                  <c:v>0.216535433070866</c:v>
                </c:pt>
                <c:pt idx="16">
                  <c:v>0.531645569620253</c:v>
                </c:pt>
                <c:pt idx="17">
                  <c:v>0.851851851851852</c:v>
                </c:pt>
                <c:pt idx="18">
                  <c:v>0.414634146341463</c:v>
                </c:pt>
                <c:pt idx="19">
                  <c:v>0.565217391304348</c:v>
                </c:pt>
                <c:pt idx="20">
                  <c:v>0.428571428571429</c:v>
                </c:pt>
                <c:pt idx="21">
                  <c:v>0.880952380952381</c:v>
                </c:pt>
                <c:pt idx="22">
                  <c:v>0.789473684210526</c:v>
                </c:pt>
                <c:pt idx="23">
                  <c:v>0.454545454545454</c:v>
                </c:pt>
                <c:pt idx="24">
                  <c:v>0.857142857142857</c:v>
                </c:pt>
                <c:pt idx="25">
                  <c:v>0.125</c:v>
                </c:pt>
                <c:pt idx="26">
                  <c:v>0.403225806451613</c:v>
                </c:pt>
                <c:pt idx="27">
                  <c:v>0.307692307692308</c:v>
                </c:pt>
                <c:pt idx="28">
                  <c:v>0.439655172413793</c:v>
                </c:pt>
                <c:pt idx="29">
                  <c:v>0.552238805970149</c:v>
                </c:pt>
                <c:pt idx="30">
                  <c:v>0.306451612903226</c:v>
                </c:pt>
                <c:pt idx="31">
                  <c:v>0.4375</c:v>
                </c:pt>
              </c:numCache>
            </c:numRef>
          </c:val>
        </c:ser>
        <c:ser>
          <c:idx val="2"/>
          <c:order val="2"/>
          <c:tx>
            <c:strRef>
              <c:f>mecs_tipo_part!$K$2</c:f>
              <c:strCache>
                <c:ptCount val="1"/>
                <c:pt idx="0">
                  <c:v>Participación en decisiones iniciadas por la autoridad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mecs_tipo_part!$B$3:$B$34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mecs_tipo_part!$K$3:$K$34</c:f>
              <c:numCache>
                <c:formatCode>0%</c:formatCode>
                <c:ptCount val="32"/>
                <c:pt idx="0">
                  <c:v>0.4</c:v>
                </c:pt>
                <c:pt idx="1">
                  <c:v>0.6</c:v>
                </c:pt>
                <c:pt idx="2">
                  <c:v>0.0</c:v>
                </c:pt>
                <c:pt idx="3">
                  <c:v>0.214285714285714</c:v>
                </c:pt>
                <c:pt idx="4">
                  <c:v>0.162393162393162</c:v>
                </c:pt>
                <c:pt idx="5">
                  <c:v>0.142857142857143</c:v>
                </c:pt>
                <c:pt idx="6">
                  <c:v>0.0</c:v>
                </c:pt>
                <c:pt idx="7">
                  <c:v>0.344827586206897</c:v>
                </c:pt>
                <c:pt idx="8">
                  <c:v>0.294117647058824</c:v>
                </c:pt>
                <c:pt idx="9">
                  <c:v>0.296610169491525</c:v>
                </c:pt>
                <c:pt idx="10">
                  <c:v>0.333333333333333</c:v>
                </c:pt>
                <c:pt idx="11">
                  <c:v>0.0</c:v>
                </c:pt>
                <c:pt idx="12">
                  <c:v>0.202247191011236</c:v>
                </c:pt>
                <c:pt idx="13">
                  <c:v>0.282352941176471</c:v>
                </c:pt>
                <c:pt idx="14">
                  <c:v>0.276995305164319</c:v>
                </c:pt>
                <c:pt idx="15">
                  <c:v>0.562992125984252</c:v>
                </c:pt>
                <c:pt idx="16">
                  <c:v>0.354430379746835</c:v>
                </c:pt>
                <c:pt idx="17">
                  <c:v>0.037037037037037</c:v>
                </c:pt>
                <c:pt idx="18">
                  <c:v>0.24390243902439</c:v>
                </c:pt>
                <c:pt idx="19">
                  <c:v>0.0869565217391304</c:v>
                </c:pt>
                <c:pt idx="20">
                  <c:v>0.428571428571429</c:v>
                </c:pt>
                <c:pt idx="21">
                  <c:v>0.0</c:v>
                </c:pt>
                <c:pt idx="22">
                  <c:v>0.210526315789474</c:v>
                </c:pt>
                <c:pt idx="23">
                  <c:v>0.363636363636364</c:v>
                </c:pt>
                <c:pt idx="24">
                  <c:v>0.0714285714285714</c:v>
                </c:pt>
                <c:pt idx="25">
                  <c:v>0.875</c:v>
                </c:pt>
                <c:pt idx="26">
                  <c:v>0.290322580645161</c:v>
                </c:pt>
                <c:pt idx="27">
                  <c:v>0.153846153846154</c:v>
                </c:pt>
                <c:pt idx="28">
                  <c:v>0.405172413793103</c:v>
                </c:pt>
                <c:pt idx="29">
                  <c:v>0.283582089552239</c:v>
                </c:pt>
                <c:pt idx="30">
                  <c:v>0.5</c:v>
                </c:pt>
                <c:pt idx="31">
                  <c:v>0.305555555555556</c:v>
                </c:pt>
              </c:numCache>
            </c:numRef>
          </c:val>
        </c:ser>
        <c:ser>
          <c:idx val="3"/>
          <c:order val="3"/>
          <c:tx>
            <c:strRef>
              <c:f>mecs_tipo_part!$L$2</c:f>
              <c:strCache>
                <c:ptCount val="1"/>
                <c:pt idx="0">
                  <c:v>Autoridad delegada a la ciudadanía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mecs_tipo_part!$B$3:$B$34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mecs_tipo_part!$L$3:$L$34</c:f>
              <c:numCache>
                <c:formatCode>0%</c:formatCode>
                <c:ptCount val="32"/>
                <c:pt idx="0">
                  <c:v>0.1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0.00854700854700855</c:v>
                </c:pt>
                <c:pt idx="5">
                  <c:v>0.0</c:v>
                </c:pt>
                <c:pt idx="6">
                  <c:v>0.0</c:v>
                </c:pt>
                <c:pt idx="7">
                  <c:v>0.206896551724138</c:v>
                </c:pt>
                <c:pt idx="8">
                  <c:v>0.323529411764706</c:v>
                </c:pt>
                <c:pt idx="9">
                  <c:v>0.00847457627118644</c:v>
                </c:pt>
                <c:pt idx="10">
                  <c:v>0.166666666666667</c:v>
                </c:pt>
                <c:pt idx="11">
                  <c:v>0.0</c:v>
                </c:pt>
                <c:pt idx="12">
                  <c:v>0.0337078651685393</c:v>
                </c:pt>
                <c:pt idx="13">
                  <c:v>0.0352941176470588</c:v>
                </c:pt>
                <c:pt idx="14">
                  <c:v>0.0140845070422535</c:v>
                </c:pt>
                <c:pt idx="15">
                  <c:v>0.0</c:v>
                </c:pt>
                <c:pt idx="16">
                  <c:v>0.0253164556962025</c:v>
                </c:pt>
                <c:pt idx="17">
                  <c:v>0.0</c:v>
                </c:pt>
                <c:pt idx="18">
                  <c:v>0.121951219512195</c:v>
                </c:pt>
                <c:pt idx="19">
                  <c:v>0.0579710144927536</c:v>
                </c:pt>
                <c:pt idx="20">
                  <c:v>0.0</c:v>
                </c:pt>
                <c:pt idx="21">
                  <c:v>0.0952380952380952</c:v>
                </c:pt>
                <c:pt idx="22">
                  <c:v>0.0</c:v>
                </c:pt>
                <c:pt idx="23">
                  <c:v>0.0</c:v>
                </c:pt>
                <c:pt idx="24">
                  <c:v>0.0</c:v>
                </c:pt>
                <c:pt idx="25">
                  <c:v>0.0</c:v>
                </c:pt>
                <c:pt idx="26">
                  <c:v>0.129032258064516</c:v>
                </c:pt>
                <c:pt idx="27">
                  <c:v>0.0</c:v>
                </c:pt>
                <c:pt idx="28">
                  <c:v>0.0</c:v>
                </c:pt>
                <c:pt idx="29">
                  <c:v>0.0</c:v>
                </c:pt>
                <c:pt idx="30">
                  <c:v>0.0</c:v>
                </c:pt>
                <c:pt idx="31">
                  <c:v>0.0277777777777778</c:v>
                </c:pt>
              </c:numCache>
            </c:numRef>
          </c:val>
        </c:ser>
        <c:ser>
          <c:idx val="4"/>
          <c:order val="4"/>
          <c:tx>
            <c:strRef>
              <c:f>mecs_tipo_part!$M$2</c:f>
              <c:strCache>
                <c:ptCount val="1"/>
                <c:pt idx="0">
                  <c:v>Autoridad directa</c:v>
                </c:pt>
              </c:strCache>
            </c:strRef>
          </c:tx>
          <c:invertIfNegative val="0"/>
          <c:dLbls>
            <c:txPr>
              <a:bodyPr/>
              <a:lstStyle/>
              <a:p>
                <a:pPr>
                  <a:defRPr sz="800"/>
                </a:pPr>
                <a:endParaRPr lang="es-E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mecs_tipo_part!$B$3:$B$34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mecs_tipo_part!$M$3:$M$34</c:f>
              <c:numCache>
                <c:formatCode>0%</c:formatCode>
                <c:ptCount val="32"/>
                <c:pt idx="0">
                  <c:v>0.1</c:v>
                </c:pt>
                <c:pt idx="1">
                  <c:v>0.2</c:v>
                </c:pt>
                <c:pt idx="2">
                  <c:v>0.0</c:v>
                </c:pt>
                <c:pt idx="3">
                  <c:v>0.238095238095238</c:v>
                </c:pt>
                <c:pt idx="4">
                  <c:v>0.094017094017094</c:v>
                </c:pt>
                <c:pt idx="5">
                  <c:v>0.0476190476190476</c:v>
                </c:pt>
                <c:pt idx="6">
                  <c:v>0.0</c:v>
                </c:pt>
                <c:pt idx="7">
                  <c:v>0.0689655172413793</c:v>
                </c:pt>
                <c:pt idx="8">
                  <c:v>0.0294117647058823</c:v>
                </c:pt>
                <c:pt idx="9">
                  <c:v>0.076271186440678</c:v>
                </c:pt>
                <c:pt idx="10">
                  <c:v>0.0</c:v>
                </c:pt>
                <c:pt idx="11">
                  <c:v>0.0</c:v>
                </c:pt>
                <c:pt idx="12">
                  <c:v>0.157303370786517</c:v>
                </c:pt>
                <c:pt idx="13">
                  <c:v>0.105882352941176</c:v>
                </c:pt>
                <c:pt idx="14">
                  <c:v>0.0328638497652582</c:v>
                </c:pt>
                <c:pt idx="15">
                  <c:v>0.173228346456693</c:v>
                </c:pt>
                <c:pt idx="16">
                  <c:v>0.0379746835443038</c:v>
                </c:pt>
                <c:pt idx="17">
                  <c:v>0.037037037037037</c:v>
                </c:pt>
                <c:pt idx="18">
                  <c:v>0.0731707317073171</c:v>
                </c:pt>
                <c:pt idx="19">
                  <c:v>0.188405797101449</c:v>
                </c:pt>
                <c:pt idx="20">
                  <c:v>0.0</c:v>
                </c:pt>
                <c:pt idx="21">
                  <c:v>0.0238095238095238</c:v>
                </c:pt>
                <c:pt idx="22">
                  <c:v>0.0</c:v>
                </c:pt>
                <c:pt idx="23">
                  <c:v>0.181818181818182</c:v>
                </c:pt>
                <c:pt idx="24">
                  <c:v>0.0</c:v>
                </c:pt>
                <c:pt idx="25">
                  <c:v>0.0</c:v>
                </c:pt>
                <c:pt idx="26">
                  <c:v>0.129032258064516</c:v>
                </c:pt>
                <c:pt idx="27">
                  <c:v>0.153846153846154</c:v>
                </c:pt>
                <c:pt idx="28">
                  <c:v>0.0603448275862069</c:v>
                </c:pt>
                <c:pt idx="29">
                  <c:v>0.119402985074627</c:v>
                </c:pt>
                <c:pt idx="30">
                  <c:v>0.185483870967742</c:v>
                </c:pt>
                <c:pt idx="31">
                  <c:v>0.208333333333333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108229240"/>
        <c:axId val="-2107716776"/>
      </c:barChart>
      <c:catAx>
        <c:axId val="-2108229240"/>
        <c:scaling>
          <c:orientation val="minMax"/>
        </c:scaling>
        <c:delete val="0"/>
        <c:axPos val="l"/>
        <c:majorTickMark val="none"/>
        <c:minorTickMark val="none"/>
        <c:tickLblPos val="nextTo"/>
        <c:crossAx val="-2107716776"/>
        <c:crosses val="autoZero"/>
        <c:auto val="1"/>
        <c:lblAlgn val="ctr"/>
        <c:lblOffset val="100"/>
        <c:noMultiLvlLbl val="0"/>
      </c:catAx>
      <c:valAx>
        <c:axId val="-2107716776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108229240"/>
        <c:crosses val="autoZero"/>
        <c:crossBetween val="between"/>
      </c:valAx>
    </c:plotArea>
    <c:legend>
      <c:legendPos val="b"/>
      <c:layout/>
      <c:overlay val="0"/>
      <c:txPr>
        <a:bodyPr/>
        <a:lstStyle/>
        <a:p>
          <a:pPr>
            <a:defRPr sz="800"/>
          </a:pPr>
          <a:endParaRPr lang="es-ES"/>
        </a:p>
      </c:txPr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 sz="1200"/>
            </a:pPr>
            <a:r>
              <a:rPr lang="es-ES" sz="1200"/>
              <a:t>Participación simbólica</a:t>
            </a:r>
          </a:p>
        </c:rich>
      </c:tx>
      <c:layout/>
      <c:overlay val="0"/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Simb!$C$2</c:f>
              <c:strCache>
                <c:ptCount val="1"/>
                <c:pt idx="0">
                  <c:v>Suma de Cabildo a sesión abierta</c:v>
                </c:pt>
              </c:strCache>
            </c:strRef>
          </c:tx>
          <c:invertIfNegative val="0"/>
          <c:cat>
            <c:strRef>
              <c:f>Simb!$B$3:$B$34</c:f>
              <c:strCache>
                <c:ptCount val="32"/>
                <c:pt idx="0">
                  <c:v>Zacatecas</c:v>
                </c:pt>
                <c:pt idx="1">
                  <c:v>Yucatán</c:v>
                </c:pt>
                <c:pt idx="2">
                  <c:v>Veracruz</c:v>
                </c:pt>
                <c:pt idx="3">
                  <c:v>Tlaxcala</c:v>
                </c:pt>
                <c:pt idx="4">
                  <c:v>Tamaulipas</c:v>
                </c:pt>
                <c:pt idx="5">
                  <c:v>Tabasco</c:v>
                </c:pt>
                <c:pt idx="6">
                  <c:v>Sonora</c:v>
                </c:pt>
                <c:pt idx="7">
                  <c:v>Sinaloa</c:v>
                </c:pt>
                <c:pt idx="8">
                  <c:v>San Luis Potosí</c:v>
                </c:pt>
                <c:pt idx="9">
                  <c:v>Quintana Roo</c:v>
                </c:pt>
                <c:pt idx="10">
                  <c:v>Querétaro</c:v>
                </c:pt>
                <c:pt idx="11">
                  <c:v>Puebla</c:v>
                </c:pt>
                <c:pt idx="12">
                  <c:v>Oaxaca</c:v>
                </c:pt>
                <c:pt idx="13">
                  <c:v>Nuevo León</c:v>
                </c:pt>
                <c:pt idx="14">
                  <c:v>Nayarit</c:v>
                </c:pt>
                <c:pt idx="15">
                  <c:v>Morelos</c:v>
                </c:pt>
                <c:pt idx="16">
                  <c:v>Michoacán</c:v>
                </c:pt>
                <c:pt idx="17">
                  <c:v>México</c:v>
                </c:pt>
                <c:pt idx="18">
                  <c:v>Jalisco</c:v>
                </c:pt>
                <c:pt idx="19">
                  <c:v>Hidalgo</c:v>
                </c:pt>
                <c:pt idx="20">
                  <c:v>Guerrero</c:v>
                </c:pt>
                <c:pt idx="21">
                  <c:v>Guanajuato</c:v>
                </c:pt>
                <c:pt idx="22">
                  <c:v>Durango</c:v>
                </c:pt>
                <c:pt idx="23">
                  <c:v>Distrito Federal</c:v>
                </c:pt>
                <c:pt idx="24">
                  <c:v>Colima</c:v>
                </c:pt>
                <c:pt idx="25">
                  <c:v>Coahuila</c:v>
                </c:pt>
                <c:pt idx="26">
                  <c:v>Chihuahua</c:v>
                </c:pt>
                <c:pt idx="27">
                  <c:v>Chiapas</c:v>
                </c:pt>
                <c:pt idx="28">
                  <c:v>Campeche</c:v>
                </c:pt>
                <c:pt idx="29">
                  <c:v>Baja California Sur</c:v>
                </c:pt>
                <c:pt idx="30">
                  <c:v>Baja California</c:v>
                </c:pt>
                <c:pt idx="31">
                  <c:v>Aguascalientes</c:v>
                </c:pt>
              </c:strCache>
            </c:strRef>
          </c:cat>
          <c:val>
            <c:numRef>
              <c:f>Simb!$C$3:$C$34</c:f>
              <c:numCache>
                <c:formatCode>General</c:formatCode>
                <c:ptCount val="32"/>
                <c:pt idx="0">
                  <c:v>2.0</c:v>
                </c:pt>
                <c:pt idx="1">
                  <c:v>2.0</c:v>
                </c:pt>
                <c:pt idx="2">
                  <c:v>9.0</c:v>
                </c:pt>
                <c:pt idx="3">
                  <c:v>1.0</c:v>
                </c:pt>
                <c:pt idx="4">
                  <c:v>0.0</c:v>
                </c:pt>
                <c:pt idx="5">
                  <c:v>0.0</c:v>
                </c:pt>
                <c:pt idx="6">
                  <c:v>0.0</c:v>
                </c:pt>
                <c:pt idx="7">
                  <c:v>0.0</c:v>
                </c:pt>
                <c:pt idx="8">
                  <c:v>0.0</c:v>
                </c:pt>
                <c:pt idx="9">
                  <c:v>0.0</c:v>
                </c:pt>
                <c:pt idx="10">
                  <c:v>3.0</c:v>
                </c:pt>
                <c:pt idx="11">
                  <c:v>0.0</c:v>
                </c:pt>
                <c:pt idx="12">
                  <c:v>1.0</c:v>
                </c:pt>
                <c:pt idx="13">
                  <c:v>0.0</c:v>
                </c:pt>
                <c:pt idx="14">
                  <c:v>1.0</c:v>
                </c:pt>
                <c:pt idx="15">
                  <c:v>0.0</c:v>
                </c:pt>
                <c:pt idx="16">
                  <c:v>0.0</c:v>
                </c:pt>
                <c:pt idx="17">
                  <c:v>1.0</c:v>
                </c:pt>
                <c:pt idx="18">
                  <c:v>3.0</c:v>
                </c:pt>
                <c:pt idx="19">
                  <c:v>0.0</c:v>
                </c:pt>
                <c:pt idx="20">
                  <c:v>0.0</c:v>
                </c:pt>
                <c:pt idx="21">
                  <c:v>7.0</c:v>
                </c:pt>
                <c:pt idx="22">
                  <c:v>6.0</c:v>
                </c:pt>
                <c:pt idx="23">
                  <c:v>0.0</c:v>
                </c:pt>
                <c:pt idx="24">
                  <c:v>5.0</c:v>
                </c:pt>
                <c:pt idx="25">
                  <c:v>2.0</c:v>
                </c:pt>
                <c:pt idx="26">
                  <c:v>0.0</c:v>
                </c:pt>
                <c:pt idx="27">
                  <c:v>0.0</c:v>
                </c:pt>
                <c:pt idx="28">
                  <c:v>0.0</c:v>
                </c:pt>
                <c:pt idx="29">
                  <c:v>0.0</c:v>
                </c:pt>
                <c:pt idx="30">
                  <c:v>4.0</c:v>
                </c:pt>
                <c:pt idx="31">
                  <c:v>0.0</c:v>
                </c:pt>
              </c:numCache>
            </c:numRef>
          </c:val>
        </c:ser>
        <c:ser>
          <c:idx val="1"/>
          <c:order val="1"/>
          <c:tx>
            <c:strRef>
              <c:f>Simb!$D$2</c:f>
              <c:strCache>
                <c:ptCount val="1"/>
                <c:pt idx="0">
                  <c:v>Suma de Audiencia Pública</c:v>
                </c:pt>
              </c:strCache>
            </c:strRef>
          </c:tx>
          <c:invertIfNegative val="0"/>
          <c:cat>
            <c:strRef>
              <c:f>Simb!$B$3:$B$34</c:f>
              <c:strCache>
                <c:ptCount val="32"/>
                <c:pt idx="0">
                  <c:v>Zacatecas</c:v>
                </c:pt>
                <c:pt idx="1">
                  <c:v>Yucatán</c:v>
                </c:pt>
                <c:pt idx="2">
                  <c:v>Veracruz</c:v>
                </c:pt>
                <c:pt idx="3">
                  <c:v>Tlaxcala</c:v>
                </c:pt>
                <c:pt idx="4">
                  <c:v>Tamaulipas</c:v>
                </c:pt>
                <c:pt idx="5">
                  <c:v>Tabasco</c:v>
                </c:pt>
                <c:pt idx="6">
                  <c:v>Sonora</c:v>
                </c:pt>
                <c:pt idx="7">
                  <c:v>Sinaloa</c:v>
                </c:pt>
                <c:pt idx="8">
                  <c:v>San Luis Potosí</c:v>
                </c:pt>
                <c:pt idx="9">
                  <c:v>Quintana Roo</c:v>
                </c:pt>
                <c:pt idx="10">
                  <c:v>Querétaro</c:v>
                </c:pt>
                <c:pt idx="11">
                  <c:v>Puebla</c:v>
                </c:pt>
                <c:pt idx="12">
                  <c:v>Oaxaca</c:v>
                </c:pt>
                <c:pt idx="13">
                  <c:v>Nuevo León</c:v>
                </c:pt>
                <c:pt idx="14">
                  <c:v>Nayarit</c:v>
                </c:pt>
                <c:pt idx="15">
                  <c:v>Morelos</c:v>
                </c:pt>
                <c:pt idx="16">
                  <c:v>Michoacán</c:v>
                </c:pt>
                <c:pt idx="17">
                  <c:v>México</c:v>
                </c:pt>
                <c:pt idx="18">
                  <c:v>Jalisco</c:v>
                </c:pt>
                <c:pt idx="19">
                  <c:v>Hidalgo</c:v>
                </c:pt>
                <c:pt idx="20">
                  <c:v>Guerrero</c:v>
                </c:pt>
                <c:pt idx="21">
                  <c:v>Guanajuato</c:v>
                </c:pt>
                <c:pt idx="22">
                  <c:v>Durango</c:v>
                </c:pt>
                <c:pt idx="23">
                  <c:v>Distrito Federal</c:v>
                </c:pt>
                <c:pt idx="24">
                  <c:v>Colima</c:v>
                </c:pt>
                <c:pt idx="25">
                  <c:v>Coahuila</c:v>
                </c:pt>
                <c:pt idx="26">
                  <c:v>Chihuahua</c:v>
                </c:pt>
                <c:pt idx="27">
                  <c:v>Chiapas</c:v>
                </c:pt>
                <c:pt idx="28">
                  <c:v>Campeche</c:v>
                </c:pt>
                <c:pt idx="29">
                  <c:v>Baja California Sur</c:v>
                </c:pt>
                <c:pt idx="30">
                  <c:v>Baja California</c:v>
                </c:pt>
                <c:pt idx="31">
                  <c:v>Aguascalientes</c:v>
                </c:pt>
              </c:strCache>
            </c:strRef>
          </c:cat>
          <c:val>
            <c:numRef>
              <c:f>Simb!$D$3:$D$34</c:f>
              <c:numCache>
                <c:formatCode>General</c:formatCode>
                <c:ptCount val="32"/>
                <c:pt idx="0">
                  <c:v>0.0</c:v>
                </c:pt>
                <c:pt idx="1">
                  <c:v>3.0</c:v>
                </c:pt>
                <c:pt idx="2">
                  <c:v>3.0</c:v>
                </c:pt>
                <c:pt idx="3">
                  <c:v>2.0</c:v>
                </c:pt>
                <c:pt idx="4">
                  <c:v>1.0</c:v>
                </c:pt>
                <c:pt idx="5">
                  <c:v>4.0</c:v>
                </c:pt>
                <c:pt idx="6">
                  <c:v>3.0</c:v>
                </c:pt>
                <c:pt idx="7">
                  <c:v>3.0</c:v>
                </c:pt>
                <c:pt idx="8">
                  <c:v>0.0</c:v>
                </c:pt>
                <c:pt idx="9">
                  <c:v>0.0</c:v>
                </c:pt>
                <c:pt idx="10">
                  <c:v>2.0</c:v>
                </c:pt>
                <c:pt idx="11">
                  <c:v>1.0</c:v>
                </c:pt>
                <c:pt idx="12">
                  <c:v>2.0</c:v>
                </c:pt>
                <c:pt idx="13">
                  <c:v>0.0</c:v>
                </c:pt>
                <c:pt idx="14">
                  <c:v>13.0</c:v>
                </c:pt>
                <c:pt idx="15">
                  <c:v>1.0</c:v>
                </c:pt>
                <c:pt idx="16">
                  <c:v>2.0</c:v>
                </c:pt>
                <c:pt idx="17">
                  <c:v>4.0</c:v>
                </c:pt>
                <c:pt idx="18">
                  <c:v>0.0</c:v>
                </c:pt>
                <c:pt idx="19">
                  <c:v>0.0</c:v>
                </c:pt>
                <c:pt idx="20">
                  <c:v>0.0</c:v>
                </c:pt>
                <c:pt idx="21">
                  <c:v>1.0</c:v>
                </c:pt>
                <c:pt idx="22">
                  <c:v>5.0</c:v>
                </c:pt>
                <c:pt idx="23">
                  <c:v>6.0</c:v>
                </c:pt>
                <c:pt idx="24">
                  <c:v>2.0</c:v>
                </c:pt>
                <c:pt idx="25">
                  <c:v>0.0</c:v>
                </c:pt>
                <c:pt idx="26">
                  <c:v>0.0</c:v>
                </c:pt>
                <c:pt idx="27">
                  <c:v>0.0</c:v>
                </c:pt>
                <c:pt idx="28">
                  <c:v>7.0</c:v>
                </c:pt>
                <c:pt idx="29">
                  <c:v>1.0</c:v>
                </c:pt>
                <c:pt idx="30">
                  <c:v>0.0</c:v>
                </c:pt>
                <c:pt idx="31">
                  <c:v>0.0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088599640"/>
        <c:axId val="-2111315720"/>
      </c:barChart>
      <c:catAx>
        <c:axId val="-2088599640"/>
        <c:scaling>
          <c:orientation val="minMax"/>
        </c:scaling>
        <c:delete val="0"/>
        <c:axPos val="l"/>
        <c:majorTickMark val="none"/>
        <c:minorTickMark val="none"/>
        <c:tickLblPos val="nextTo"/>
        <c:txPr>
          <a:bodyPr/>
          <a:lstStyle/>
          <a:p>
            <a:pPr>
              <a:defRPr sz="700"/>
            </a:pPr>
            <a:endParaRPr lang="es-ES"/>
          </a:p>
        </c:txPr>
        <c:crossAx val="-2111315720"/>
        <c:crosses val="autoZero"/>
        <c:auto val="1"/>
        <c:lblAlgn val="ctr"/>
        <c:lblOffset val="100"/>
        <c:noMultiLvlLbl val="0"/>
      </c:catAx>
      <c:valAx>
        <c:axId val="-2111315720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088599640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 sz="1400" b="1" i="0" baseline="0">
                <a:effectLst/>
              </a:rPr>
              <a:t>Participación consultiva o selectiva pero informada</a:t>
            </a:r>
            <a:endParaRPr lang="es-ES" sz="14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'Cons o Select'!$F$2</c:f>
              <c:strCache>
                <c:ptCount val="1"/>
                <c:pt idx="0">
                  <c:v>Coplademum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Select'!$F$3:$F$34</c:f>
              <c:numCache>
                <c:formatCode>General</c:formatCode>
                <c:ptCount val="32"/>
                <c:pt idx="0">
                  <c:v>0.0</c:v>
                </c:pt>
                <c:pt idx="1">
                  <c:v>0.0</c:v>
                </c:pt>
                <c:pt idx="2">
                  <c:v>1.0</c:v>
                </c:pt>
                <c:pt idx="3">
                  <c:v>9.0</c:v>
                </c:pt>
                <c:pt idx="4">
                  <c:v>17.0</c:v>
                </c:pt>
                <c:pt idx="5">
                  <c:v>0.0</c:v>
                </c:pt>
                <c:pt idx="6">
                  <c:v>10.0</c:v>
                </c:pt>
                <c:pt idx="7">
                  <c:v>2.0</c:v>
                </c:pt>
                <c:pt idx="8">
                  <c:v>0.0</c:v>
                </c:pt>
                <c:pt idx="9">
                  <c:v>21.0</c:v>
                </c:pt>
                <c:pt idx="10">
                  <c:v>0.0</c:v>
                </c:pt>
                <c:pt idx="11">
                  <c:v>3.0</c:v>
                </c:pt>
                <c:pt idx="12">
                  <c:v>18.0</c:v>
                </c:pt>
                <c:pt idx="13">
                  <c:v>2.0</c:v>
                </c:pt>
                <c:pt idx="14">
                  <c:v>23.0</c:v>
                </c:pt>
                <c:pt idx="15">
                  <c:v>22.0</c:v>
                </c:pt>
                <c:pt idx="16">
                  <c:v>23.0</c:v>
                </c:pt>
                <c:pt idx="17">
                  <c:v>1.0</c:v>
                </c:pt>
                <c:pt idx="18">
                  <c:v>0.0</c:v>
                </c:pt>
                <c:pt idx="19">
                  <c:v>3.0</c:v>
                </c:pt>
                <c:pt idx="20">
                  <c:v>0.0</c:v>
                </c:pt>
                <c:pt idx="21">
                  <c:v>13.0</c:v>
                </c:pt>
                <c:pt idx="22">
                  <c:v>2.0</c:v>
                </c:pt>
                <c:pt idx="23">
                  <c:v>0.0</c:v>
                </c:pt>
                <c:pt idx="24">
                  <c:v>2.0</c:v>
                </c:pt>
                <c:pt idx="25">
                  <c:v>0.0</c:v>
                </c:pt>
                <c:pt idx="26">
                  <c:v>6.0</c:v>
                </c:pt>
                <c:pt idx="27">
                  <c:v>1.0</c:v>
                </c:pt>
                <c:pt idx="28">
                  <c:v>26.0</c:v>
                </c:pt>
                <c:pt idx="29">
                  <c:v>6.0</c:v>
                </c:pt>
                <c:pt idx="30">
                  <c:v>38.0</c:v>
                </c:pt>
                <c:pt idx="31">
                  <c:v>27.0</c:v>
                </c:pt>
              </c:numCache>
            </c:numRef>
          </c:val>
        </c:ser>
        <c:ser>
          <c:idx val="1"/>
          <c:order val="1"/>
          <c:tx>
            <c:strRef>
              <c:f>'Cons o Select'!$G$2</c:f>
              <c:strCache>
                <c:ptCount val="1"/>
                <c:pt idx="0">
                  <c:v>Consejo de desarrollo municipal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Select'!$G$3:$G$34</c:f>
              <c:numCache>
                <c:formatCode>General</c:formatCode>
                <c:ptCount val="32"/>
                <c:pt idx="0">
                  <c:v>1.0</c:v>
                </c:pt>
                <c:pt idx="1">
                  <c:v>0.0</c:v>
                </c:pt>
                <c:pt idx="2">
                  <c:v>0.0</c:v>
                </c:pt>
                <c:pt idx="3">
                  <c:v>3.0</c:v>
                </c:pt>
                <c:pt idx="4">
                  <c:v>8.0</c:v>
                </c:pt>
                <c:pt idx="5">
                  <c:v>0.0</c:v>
                </c:pt>
                <c:pt idx="6">
                  <c:v>7.0</c:v>
                </c:pt>
                <c:pt idx="7">
                  <c:v>0.0</c:v>
                </c:pt>
                <c:pt idx="8">
                  <c:v>0.0</c:v>
                </c:pt>
                <c:pt idx="9">
                  <c:v>13.0</c:v>
                </c:pt>
                <c:pt idx="10">
                  <c:v>1.0</c:v>
                </c:pt>
                <c:pt idx="11">
                  <c:v>2.0</c:v>
                </c:pt>
                <c:pt idx="12">
                  <c:v>4.0</c:v>
                </c:pt>
                <c:pt idx="13">
                  <c:v>1.0</c:v>
                </c:pt>
                <c:pt idx="14">
                  <c:v>4.0</c:v>
                </c:pt>
                <c:pt idx="15">
                  <c:v>0.0</c:v>
                </c:pt>
                <c:pt idx="16">
                  <c:v>1.0</c:v>
                </c:pt>
                <c:pt idx="17">
                  <c:v>2.0</c:v>
                </c:pt>
                <c:pt idx="18">
                  <c:v>1.0</c:v>
                </c:pt>
                <c:pt idx="19">
                  <c:v>7.0</c:v>
                </c:pt>
                <c:pt idx="20">
                  <c:v>0.0</c:v>
                </c:pt>
                <c:pt idx="21">
                  <c:v>1.0</c:v>
                </c:pt>
                <c:pt idx="22">
                  <c:v>1.0</c:v>
                </c:pt>
                <c:pt idx="23">
                  <c:v>0.0</c:v>
                </c:pt>
                <c:pt idx="24">
                  <c:v>0.0</c:v>
                </c:pt>
                <c:pt idx="25">
                  <c:v>0.0</c:v>
                </c:pt>
                <c:pt idx="26">
                  <c:v>5.0</c:v>
                </c:pt>
                <c:pt idx="27">
                  <c:v>0.0</c:v>
                </c:pt>
                <c:pt idx="28">
                  <c:v>10.0</c:v>
                </c:pt>
                <c:pt idx="29">
                  <c:v>9.0</c:v>
                </c:pt>
                <c:pt idx="30">
                  <c:v>0.0</c:v>
                </c:pt>
                <c:pt idx="31">
                  <c:v>8.0</c:v>
                </c:pt>
              </c:numCache>
            </c:numRef>
          </c:val>
        </c:ser>
        <c:ser>
          <c:idx val="2"/>
          <c:order val="2"/>
          <c:tx>
            <c:strRef>
              <c:f>'Cons o Select'!$H$2</c:f>
              <c:strCache>
                <c:ptCount val="1"/>
                <c:pt idx="0">
                  <c:v> Consejo de participación social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Select'!$H$3:$H$34</c:f>
              <c:numCache>
                <c:formatCode>General</c:formatCode>
                <c:ptCount val="32"/>
                <c:pt idx="0">
                  <c:v>1.0</c:v>
                </c:pt>
                <c:pt idx="1">
                  <c:v>0.0</c:v>
                </c:pt>
                <c:pt idx="2">
                  <c:v>1.0</c:v>
                </c:pt>
                <c:pt idx="3">
                  <c:v>2.0</c:v>
                </c:pt>
                <c:pt idx="4">
                  <c:v>22.0</c:v>
                </c:pt>
                <c:pt idx="5">
                  <c:v>7.0</c:v>
                </c:pt>
                <c:pt idx="6">
                  <c:v>8.0</c:v>
                </c:pt>
                <c:pt idx="7">
                  <c:v>2.0</c:v>
                </c:pt>
                <c:pt idx="8">
                  <c:v>2.0</c:v>
                </c:pt>
                <c:pt idx="9">
                  <c:v>19.0</c:v>
                </c:pt>
                <c:pt idx="10">
                  <c:v>1.0</c:v>
                </c:pt>
                <c:pt idx="11">
                  <c:v>2.0</c:v>
                </c:pt>
                <c:pt idx="12">
                  <c:v>11.0</c:v>
                </c:pt>
                <c:pt idx="13">
                  <c:v>7.0</c:v>
                </c:pt>
                <c:pt idx="14">
                  <c:v>102.0</c:v>
                </c:pt>
                <c:pt idx="15">
                  <c:v>22.0</c:v>
                </c:pt>
                <c:pt idx="16">
                  <c:v>15.0</c:v>
                </c:pt>
                <c:pt idx="17">
                  <c:v>10.0</c:v>
                </c:pt>
                <c:pt idx="18">
                  <c:v>1.0</c:v>
                </c:pt>
                <c:pt idx="19">
                  <c:v>8.0</c:v>
                </c:pt>
                <c:pt idx="20">
                  <c:v>1.0</c:v>
                </c:pt>
                <c:pt idx="21">
                  <c:v>18.0</c:v>
                </c:pt>
                <c:pt idx="22">
                  <c:v>7.0</c:v>
                </c:pt>
                <c:pt idx="23">
                  <c:v>4.0</c:v>
                </c:pt>
                <c:pt idx="24">
                  <c:v>3.0</c:v>
                </c:pt>
                <c:pt idx="25">
                  <c:v>2.0</c:v>
                </c:pt>
                <c:pt idx="26">
                  <c:v>3.0</c:v>
                </c:pt>
                <c:pt idx="27">
                  <c:v>1.0</c:v>
                </c:pt>
                <c:pt idx="28">
                  <c:v>5.0</c:v>
                </c:pt>
                <c:pt idx="29">
                  <c:v>2.0</c:v>
                </c:pt>
                <c:pt idx="30">
                  <c:v>0.0</c:v>
                </c:pt>
                <c:pt idx="31">
                  <c:v>18.0</c:v>
                </c:pt>
              </c:numCache>
            </c:numRef>
          </c:val>
        </c:ser>
        <c:ser>
          <c:idx val="3"/>
          <c:order val="3"/>
          <c:tx>
            <c:strRef>
              <c:f>'Cons o Select'!$I$2</c:f>
              <c:strCache>
                <c:ptCount val="1"/>
                <c:pt idx="0">
                  <c:v> Consejos o comités deliberativos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Select'!$I$3:$I$34</c:f>
              <c:numCache>
                <c:formatCode>General</c:formatCode>
                <c:ptCount val="32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0.0</c:v>
                </c:pt>
                <c:pt idx="4">
                  <c:v>1.0</c:v>
                </c:pt>
                <c:pt idx="5">
                  <c:v>1.0</c:v>
                </c:pt>
                <c:pt idx="6">
                  <c:v>0.0</c:v>
                </c:pt>
                <c:pt idx="7">
                  <c:v>0.0</c:v>
                </c:pt>
                <c:pt idx="8">
                  <c:v>0.0</c:v>
                </c:pt>
                <c:pt idx="9">
                  <c:v>1.0</c:v>
                </c:pt>
                <c:pt idx="10">
                  <c:v>0.0</c:v>
                </c:pt>
                <c:pt idx="11">
                  <c:v>0.0</c:v>
                </c:pt>
                <c:pt idx="12">
                  <c:v>3.0</c:v>
                </c:pt>
                <c:pt idx="13">
                  <c:v>10.0</c:v>
                </c:pt>
                <c:pt idx="14">
                  <c:v>2.0</c:v>
                </c:pt>
                <c:pt idx="15">
                  <c:v>0.0</c:v>
                </c:pt>
                <c:pt idx="16">
                  <c:v>0.0</c:v>
                </c:pt>
                <c:pt idx="17">
                  <c:v>5.0</c:v>
                </c:pt>
                <c:pt idx="18">
                  <c:v>3.0</c:v>
                </c:pt>
                <c:pt idx="19">
                  <c:v>0.0</c:v>
                </c:pt>
                <c:pt idx="20">
                  <c:v>0.0</c:v>
                </c:pt>
                <c:pt idx="21">
                  <c:v>0.0</c:v>
                </c:pt>
                <c:pt idx="22">
                  <c:v>0.0</c:v>
                </c:pt>
                <c:pt idx="23">
                  <c:v>0.0</c:v>
                </c:pt>
                <c:pt idx="24">
                  <c:v>4.0</c:v>
                </c:pt>
                <c:pt idx="25">
                  <c:v>0.0</c:v>
                </c:pt>
                <c:pt idx="26">
                  <c:v>4.0</c:v>
                </c:pt>
                <c:pt idx="27">
                  <c:v>1.0</c:v>
                </c:pt>
                <c:pt idx="28">
                  <c:v>0.0</c:v>
                </c:pt>
                <c:pt idx="29">
                  <c:v>7.0</c:v>
                </c:pt>
                <c:pt idx="30">
                  <c:v>0.0</c:v>
                </c:pt>
                <c:pt idx="31">
                  <c:v>0.0</c:v>
                </c:pt>
              </c:numCache>
            </c:numRef>
          </c:val>
        </c:ser>
        <c:ser>
          <c:idx val="4"/>
          <c:order val="4"/>
          <c:tx>
            <c:strRef>
              <c:f>'Cons o Select'!$J$2</c:f>
              <c:strCache>
                <c:ptCount val="1"/>
                <c:pt idx="0">
                  <c:v> Consejos o comites consultivos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Select'!$J$3:$J$34</c:f>
              <c:numCache>
                <c:formatCode>General</c:formatCode>
                <c:ptCount val="32"/>
                <c:pt idx="0">
                  <c:v>2.0</c:v>
                </c:pt>
                <c:pt idx="1">
                  <c:v>0.0</c:v>
                </c:pt>
                <c:pt idx="2">
                  <c:v>0.0</c:v>
                </c:pt>
                <c:pt idx="3">
                  <c:v>5.0</c:v>
                </c:pt>
                <c:pt idx="4">
                  <c:v>32.0</c:v>
                </c:pt>
                <c:pt idx="5">
                  <c:v>9.0</c:v>
                </c:pt>
                <c:pt idx="6">
                  <c:v>10.0</c:v>
                </c:pt>
                <c:pt idx="7">
                  <c:v>4.0</c:v>
                </c:pt>
                <c:pt idx="8">
                  <c:v>6.0</c:v>
                </c:pt>
                <c:pt idx="9">
                  <c:v>11.0</c:v>
                </c:pt>
                <c:pt idx="10">
                  <c:v>3.0</c:v>
                </c:pt>
                <c:pt idx="11">
                  <c:v>5.0</c:v>
                </c:pt>
                <c:pt idx="12">
                  <c:v>10.0</c:v>
                </c:pt>
                <c:pt idx="13">
                  <c:v>14.0</c:v>
                </c:pt>
                <c:pt idx="14">
                  <c:v>6.0</c:v>
                </c:pt>
                <c:pt idx="15">
                  <c:v>11.0</c:v>
                </c:pt>
                <c:pt idx="16">
                  <c:v>3.0</c:v>
                </c:pt>
                <c:pt idx="17">
                  <c:v>5.0</c:v>
                </c:pt>
                <c:pt idx="18">
                  <c:v>10.0</c:v>
                </c:pt>
                <c:pt idx="19">
                  <c:v>16.0</c:v>
                </c:pt>
                <c:pt idx="20">
                  <c:v>2.0</c:v>
                </c:pt>
                <c:pt idx="21">
                  <c:v>5.0</c:v>
                </c:pt>
                <c:pt idx="22">
                  <c:v>5.0</c:v>
                </c:pt>
                <c:pt idx="23">
                  <c:v>1.0</c:v>
                </c:pt>
                <c:pt idx="24">
                  <c:v>3.0</c:v>
                </c:pt>
                <c:pt idx="25">
                  <c:v>6.0</c:v>
                </c:pt>
                <c:pt idx="26">
                  <c:v>6.0</c:v>
                </c:pt>
                <c:pt idx="27">
                  <c:v>1.0</c:v>
                </c:pt>
                <c:pt idx="28">
                  <c:v>5.0</c:v>
                </c:pt>
                <c:pt idx="29">
                  <c:v>13.0</c:v>
                </c:pt>
                <c:pt idx="30">
                  <c:v>38.0</c:v>
                </c:pt>
                <c:pt idx="31">
                  <c:v>9.0</c:v>
                </c:pt>
              </c:numCache>
            </c:numRef>
          </c:val>
        </c:ser>
        <c:ser>
          <c:idx val="5"/>
          <c:order val="5"/>
          <c:tx>
            <c:strRef>
              <c:f>'Cons o Select'!$K$2</c:f>
              <c:strCache>
                <c:ptCount val="1"/>
                <c:pt idx="0">
                  <c:v>Asamblea Ciudadana</c:v>
                </c:pt>
              </c:strCache>
            </c:strRef>
          </c:tx>
          <c:invertIfNegative val="0"/>
          <c:cat>
            <c:strRef>
              <c:f>'Cons o Select'!$B$3:$B$34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'Cons o Select'!$K$3:$K$34</c:f>
              <c:numCache>
                <c:formatCode>General</c:formatCode>
                <c:ptCount val="32"/>
                <c:pt idx="0">
                  <c:v>0.0</c:v>
                </c:pt>
                <c:pt idx="1">
                  <c:v>0.0</c:v>
                </c:pt>
                <c:pt idx="2">
                  <c:v>0.0</c:v>
                </c:pt>
                <c:pt idx="3">
                  <c:v>2.0</c:v>
                </c:pt>
                <c:pt idx="4">
                  <c:v>1.0</c:v>
                </c:pt>
                <c:pt idx="5">
                  <c:v>0.0</c:v>
                </c:pt>
                <c:pt idx="6">
                  <c:v>0.0</c:v>
                </c:pt>
                <c:pt idx="7">
                  <c:v>0.0</c:v>
                </c:pt>
                <c:pt idx="8">
                  <c:v>1.0</c:v>
                </c:pt>
                <c:pt idx="9">
                  <c:v>0.0</c:v>
                </c:pt>
                <c:pt idx="10">
                  <c:v>0.0</c:v>
                </c:pt>
                <c:pt idx="11">
                  <c:v>0.0</c:v>
                </c:pt>
                <c:pt idx="12">
                  <c:v>3.0</c:v>
                </c:pt>
                <c:pt idx="13">
                  <c:v>1.0</c:v>
                </c:pt>
                <c:pt idx="14">
                  <c:v>0.0</c:v>
                </c:pt>
                <c:pt idx="15">
                  <c:v>0.0</c:v>
                </c:pt>
                <c:pt idx="16">
                  <c:v>0.0</c:v>
                </c:pt>
                <c:pt idx="17">
                  <c:v>0.0</c:v>
                </c:pt>
                <c:pt idx="18">
                  <c:v>2.0</c:v>
                </c:pt>
                <c:pt idx="19">
                  <c:v>5.0</c:v>
                </c:pt>
                <c:pt idx="20">
                  <c:v>0.0</c:v>
                </c:pt>
                <c:pt idx="21">
                  <c:v>0.0</c:v>
                </c:pt>
                <c:pt idx="22">
                  <c:v>0.0</c:v>
                </c:pt>
                <c:pt idx="23">
                  <c:v>0.0</c:v>
                </c:pt>
                <c:pt idx="24">
                  <c:v>0.0</c:v>
                </c:pt>
                <c:pt idx="25">
                  <c:v>0.0</c:v>
                </c:pt>
                <c:pt idx="26">
                  <c:v>1.0</c:v>
                </c:pt>
                <c:pt idx="27">
                  <c:v>0.0</c:v>
                </c:pt>
                <c:pt idx="28">
                  <c:v>5.0</c:v>
                </c:pt>
                <c:pt idx="29">
                  <c:v>0.0</c:v>
                </c:pt>
                <c:pt idx="30">
                  <c:v>0.0</c:v>
                </c:pt>
                <c:pt idx="31">
                  <c:v>1.0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003702104"/>
        <c:axId val="-2087399096"/>
      </c:barChart>
      <c:catAx>
        <c:axId val="-2003702104"/>
        <c:scaling>
          <c:orientation val="minMax"/>
        </c:scaling>
        <c:delete val="0"/>
        <c:axPos val="l"/>
        <c:majorTickMark val="none"/>
        <c:minorTickMark val="none"/>
        <c:tickLblPos val="nextTo"/>
        <c:crossAx val="-2087399096"/>
        <c:crosses val="autoZero"/>
        <c:auto val="1"/>
        <c:lblAlgn val="ctr"/>
        <c:lblOffset val="100"/>
        <c:noMultiLvlLbl val="0"/>
      </c:catAx>
      <c:valAx>
        <c:axId val="-2087399096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003702104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18"/>
    </mc:Choice>
    <mc:Fallback>
      <c:style val="18"/>
    </mc:Fallback>
  </mc:AlternateContent>
  <c:chart>
    <c:title>
      <c:tx>
        <c:rich>
          <a:bodyPr/>
          <a:lstStyle/>
          <a:p>
            <a:pPr>
              <a:defRPr/>
            </a:pPr>
            <a:r>
              <a:rPr lang="es-ES" sz="1400" b="1" i="0" baseline="0">
                <a:effectLst/>
              </a:rPr>
              <a:t>Oferta de MPC de decisiones iniciadas por la autoridad en las que participan los ciudadanos</a:t>
            </a:r>
            <a:endParaRPr lang="es-ES" sz="1400">
              <a:effectLst/>
            </a:endParaRPr>
          </a:p>
        </c:rich>
      </c:tx>
      <c:layout/>
      <c:overlay val="0"/>
    </c:title>
    <c:autoTitleDeleted val="0"/>
    <c:plotArea>
      <c:layout/>
      <c:barChart>
        <c:barDir val="bar"/>
        <c:grouping val="percentStacked"/>
        <c:varyColors val="0"/>
        <c:ser>
          <c:idx val="0"/>
          <c:order val="0"/>
          <c:tx>
            <c:strRef>
              <c:f>'Decis con participación ciud'!$G$2</c:f>
              <c:strCache>
                <c:ptCount val="1"/>
                <c:pt idx="0">
                  <c:v>Referendum</c:v>
                </c:pt>
              </c:strCache>
            </c:strRef>
          </c:tx>
          <c:invertIfNegative val="0"/>
          <c:cat>
            <c:strRef>
              <c:f>'Decis con participación ciud'!$B$3:$B$34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'Decis con participación ciud'!$G$3:$G$34</c:f>
              <c:numCache>
                <c:formatCode>General</c:formatCode>
                <c:ptCount val="32"/>
                <c:pt idx="0">
                  <c:v>1.0</c:v>
                </c:pt>
                <c:pt idx="1">
                  <c:v>1.0</c:v>
                </c:pt>
                <c:pt idx="2">
                  <c:v>0.0</c:v>
                </c:pt>
                <c:pt idx="3">
                  <c:v>1.0</c:v>
                </c:pt>
                <c:pt idx="4">
                  <c:v>5.0</c:v>
                </c:pt>
                <c:pt idx="5">
                  <c:v>1.0</c:v>
                </c:pt>
                <c:pt idx="6">
                  <c:v>0.0</c:v>
                </c:pt>
                <c:pt idx="7">
                  <c:v>3.0</c:v>
                </c:pt>
                <c:pt idx="8">
                  <c:v>0.0</c:v>
                </c:pt>
                <c:pt idx="9">
                  <c:v>14.0</c:v>
                </c:pt>
                <c:pt idx="10">
                  <c:v>0.0</c:v>
                </c:pt>
                <c:pt idx="11">
                  <c:v>0.0</c:v>
                </c:pt>
                <c:pt idx="12">
                  <c:v>4.0</c:v>
                </c:pt>
                <c:pt idx="13">
                  <c:v>7.0</c:v>
                </c:pt>
                <c:pt idx="14">
                  <c:v>16.0</c:v>
                </c:pt>
                <c:pt idx="15">
                  <c:v>51.0</c:v>
                </c:pt>
                <c:pt idx="16">
                  <c:v>6.0</c:v>
                </c:pt>
                <c:pt idx="17">
                  <c:v>0.0</c:v>
                </c:pt>
                <c:pt idx="18">
                  <c:v>2.0</c:v>
                </c:pt>
                <c:pt idx="19">
                  <c:v>0.0</c:v>
                </c:pt>
                <c:pt idx="20">
                  <c:v>1.0</c:v>
                </c:pt>
                <c:pt idx="21">
                  <c:v>0.0</c:v>
                </c:pt>
                <c:pt idx="22">
                  <c:v>0.0</c:v>
                </c:pt>
                <c:pt idx="23">
                  <c:v>2.0</c:v>
                </c:pt>
                <c:pt idx="24">
                  <c:v>0.0</c:v>
                </c:pt>
                <c:pt idx="25">
                  <c:v>1.0</c:v>
                </c:pt>
                <c:pt idx="26">
                  <c:v>4.0</c:v>
                </c:pt>
                <c:pt idx="27">
                  <c:v>0.0</c:v>
                </c:pt>
                <c:pt idx="28">
                  <c:v>13.0</c:v>
                </c:pt>
                <c:pt idx="29">
                  <c:v>2.0</c:v>
                </c:pt>
                <c:pt idx="30">
                  <c:v>44.0</c:v>
                </c:pt>
                <c:pt idx="31">
                  <c:v>6.0</c:v>
                </c:pt>
              </c:numCache>
            </c:numRef>
          </c:val>
        </c:ser>
        <c:ser>
          <c:idx val="1"/>
          <c:order val="1"/>
          <c:tx>
            <c:strRef>
              <c:f>'Decis con participación ciud'!$H$2</c:f>
              <c:strCache>
                <c:ptCount val="1"/>
                <c:pt idx="0">
                  <c:v>Plebiscito</c:v>
                </c:pt>
              </c:strCache>
            </c:strRef>
          </c:tx>
          <c:invertIfNegative val="0"/>
          <c:cat>
            <c:strRef>
              <c:f>'Decis con participación ciud'!$B$3:$B$34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'Decis con participación ciud'!$H$3:$H$34</c:f>
              <c:numCache>
                <c:formatCode>General</c:formatCode>
                <c:ptCount val="32"/>
                <c:pt idx="0">
                  <c:v>1.0</c:v>
                </c:pt>
                <c:pt idx="1">
                  <c:v>1.0</c:v>
                </c:pt>
                <c:pt idx="2">
                  <c:v>0.0</c:v>
                </c:pt>
                <c:pt idx="3">
                  <c:v>1.0</c:v>
                </c:pt>
                <c:pt idx="4">
                  <c:v>3.0</c:v>
                </c:pt>
                <c:pt idx="5">
                  <c:v>1.0</c:v>
                </c:pt>
                <c:pt idx="6">
                  <c:v>0.0</c:v>
                </c:pt>
                <c:pt idx="7">
                  <c:v>3.0</c:v>
                </c:pt>
                <c:pt idx="8">
                  <c:v>0.0</c:v>
                </c:pt>
                <c:pt idx="9">
                  <c:v>16.0</c:v>
                </c:pt>
                <c:pt idx="10">
                  <c:v>0.0</c:v>
                </c:pt>
                <c:pt idx="11">
                  <c:v>0.0</c:v>
                </c:pt>
                <c:pt idx="12">
                  <c:v>5.0</c:v>
                </c:pt>
                <c:pt idx="13">
                  <c:v>7.0</c:v>
                </c:pt>
                <c:pt idx="14">
                  <c:v>13.0</c:v>
                </c:pt>
                <c:pt idx="15">
                  <c:v>52.0</c:v>
                </c:pt>
                <c:pt idx="16">
                  <c:v>6.0</c:v>
                </c:pt>
                <c:pt idx="17">
                  <c:v>0.0</c:v>
                </c:pt>
                <c:pt idx="18">
                  <c:v>2.0</c:v>
                </c:pt>
                <c:pt idx="19">
                  <c:v>0.0</c:v>
                </c:pt>
                <c:pt idx="20">
                  <c:v>1.0</c:v>
                </c:pt>
                <c:pt idx="21">
                  <c:v>0.0</c:v>
                </c:pt>
                <c:pt idx="22">
                  <c:v>0.0</c:v>
                </c:pt>
                <c:pt idx="23">
                  <c:v>2.0</c:v>
                </c:pt>
                <c:pt idx="24">
                  <c:v>0.0</c:v>
                </c:pt>
                <c:pt idx="25">
                  <c:v>1.0</c:v>
                </c:pt>
                <c:pt idx="26">
                  <c:v>4.0</c:v>
                </c:pt>
                <c:pt idx="27">
                  <c:v>0.0</c:v>
                </c:pt>
                <c:pt idx="28">
                  <c:v>13.0</c:v>
                </c:pt>
                <c:pt idx="29">
                  <c:v>4.0</c:v>
                </c:pt>
                <c:pt idx="30">
                  <c:v>44.0</c:v>
                </c:pt>
                <c:pt idx="31">
                  <c:v>7.0</c:v>
                </c:pt>
              </c:numCache>
            </c:numRef>
          </c:val>
        </c:ser>
        <c:ser>
          <c:idx val="2"/>
          <c:order val="2"/>
          <c:tx>
            <c:strRef>
              <c:f>'Decis con participación ciud'!$I$2</c:f>
              <c:strCache>
                <c:ptCount val="1"/>
                <c:pt idx="0">
                  <c:v>Consulta Popular</c:v>
                </c:pt>
              </c:strCache>
            </c:strRef>
          </c:tx>
          <c:invertIfNegative val="0"/>
          <c:cat>
            <c:strRef>
              <c:f>'Decis con participación ciud'!$B$3:$B$34</c:f>
              <c:strCache>
                <c:ptCount val="32"/>
                <c:pt idx="0">
                  <c:v>Aguascalientes</c:v>
                </c:pt>
                <c:pt idx="1">
                  <c:v>Baja California</c:v>
                </c:pt>
                <c:pt idx="2">
                  <c:v>Baja California Sur</c:v>
                </c:pt>
                <c:pt idx="3">
                  <c:v>Campeche</c:v>
                </c:pt>
                <c:pt idx="4">
                  <c:v>Chiapas</c:v>
                </c:pt>
                <c:pt idx="5">
                  <c:v>Chihuahua</c:v>
                </c:pt>
                <c:pt idx="6">
                  <c:v>Coahuila</c:v>
                </c:pt>
                <c:pt idx="7">
                  <c:v>Colima</c:v>
                </c:pt>
                <c:pt idx="8">
                  <c:v>Distrito Federal</c:v>
                </c:pt>
                <c:pt idx="9">
                  <c:v>Durango</c:v>
                </c:pt>
                <c:pt idx="10">
                  <c:v>Guanajuato</c:v>
                </c:pt>
                <c:pt idx="11">
                  <c:v>Guerrero</c:v>
                </c:pt>
                <c:pt idx="12">
                  <c:v>Hidalgo</c:v>
                </c:pt>
                <c:pt idx="13">
                  <c:v>Jalisco</c:v>
                </c:pt>
                <c:pt idx="14">
                  <c:v>México</c:v>
                </c:pt>
                <c:pt idx="15">
                  <c:v>Michoacán</c:v>
                </c:pt>
                <c:pt idx="16">
                  <c:v>Morelos</c:v>
                </c:pt>
                <c:pt idx="17">
                  <c:v>Nayarit</c:v>
                </c:pt>
                <c:pt idx="18">
                  <c:v>Nuevo León</c:v>
                </c:pt>
                <c:pt idx="19">
                  <c:v>Oaxaca</c:v>
                </c:pt>
                <c:pt idx="20">
                  <c:v>Puebla</c:v>
                </c:pt>
                <c:pt idx="21">
                  <c:v>Querétaro</c:v>
                </c:pt>
                <c:pt idx="22">
                  <c:v>Quintana Roo</c:v>
                </c:pt>
                <c:pt idx="23">
                  <c:v>San Luis Potosí</c:v>
                </c:pt>
                <c:pt idx="24">
                  <c:v>Sinaloa</c:v>
                </c:pt>
                <c:pt idx="25">
                  <c:v>Sonora</c:v>
                </c:pt>
                <c:pt idx="26">
                  <c:v>Tabasco</c:v>
                </c:pt>
                <c:pt idx="27">
                  <c:v>Tamaulipas</c:v>
                </c:pt>
                <c:pt idx="28">
                  <c:v>Tlaxcala</c:v>
                </c:pt>
                <c:pt idx="29">
                  <c:v>Veracruz</c:v>
                </c:pt>
                <c:pt idx="30">
                  <c:v>Yucatán</c:v>
                </c:pt>
                <c:pt idx="31">
                  <c:v>Zacatecas</c:v>
                </c:pt>
              </c:strCache>
            </c:strRef>
          </c:cat>
          <c:val>
            <c:numRef>
              <c:f>'Decis con participación ciud'!$I$3:$I$34</c:f>
              <c:numCache>
                <c:formatCode>General</c:formatCode>
                <c:ptCount val="32"/>
                <c:pt idx="0">
                  <c:v>2.0</c:v>
                </c:pt>
                <c:pt idx="1">
                  <c:v>1.0</c:v>
                </c:pt>
                <c:pt idx="2">
                  <c:v>0.0</c:v>
                </c:pt>
                <c:pt idx="3">
                  <c:v>7.0</c:v>
                </c:pt>
                <c:pt idx="4">
                  <c:v>11.0</c:v>
                </c:pt>
                <c:pt idx="5">
                  <c:v>1.0</c:v>
                </c:pt>
                <c:pt idx="6">
                  <c:v>0.0</c:v>
                </c:pt>
                <c:pt idx="7">
                  <c:v>4.0</c:v>
                </c:pt>
                <c:pt idx="8">
                  <c:v>10.0</c:v>
                </c:pt>
                <c:pt idx="9">
                  <c:v>5.0</c:v>
                </c:pt>
                <c:pt idx="10">
                  <c:v>4.0</c:v>
                </c:pt>
                <c:pt idx="11">
                  <c:v>0.0</c:v>
                </c:pt>
                <c:pt idx="12">
                  <c:v>9.0</c:v>
                </c:pt>
                <c:pt idx="13">
                  <c:v>10.0</c:v>
                </c:pt>
                <c:pt idx="14">
                  <c:v>30.0</c:v>
                </c:pt>
                <c:pt idx="15">
                  <c:v>40.0</c:v>
                </c:pt>
                <c:pt idx="16">
                  <c:v>16.0</c:v>
                </c:pt>
                <c:pt idx="17">
                  <c:v>1.0</c:v>
                </c:pt>
                <c:pt idx="18">
                  <c:v>6.0</c:v>
                </c:pt>
                <c:pt idx="19">
                  <c:v>6.0</c:v>
                </c:pt>
                <c:pt idx="20">
                  <c:v>1.0</c:v>
                </c:pt>
                <c:pt idx="21">
                  <c:v>0.0</c:v>
                </c:pt>
                <c:pt idx="22">
                  <c:v>4.0</c:v>
                </c:pt>
                <c:pt idx="23">
                  <c:v>0.0</c:v>
                </c:pt>
                <c:pt idx="24">
                  <c:v>1.0</c:v>
                </c:pt>
                <c:pt idx="25">
                  <c:v>54.0</c:v>
                </c:pt>
                <c:pt idx="26">
                  <c:v>10.0</c:v>
                </c:pt>
                <c:pt idx="27">
                  <c:v>2.0</c:v>
                </c:pt>
                <c:pt idx="28">
                  <c:v>21.0</c:v>
                </c:pt>
                <c:pt idx="29">
                  <c:v>13.0</c:v>
                </c:pt>
                <c:pt idx="30">
                  <c:v>36.0</c:v>
                </c:pt>
                <c:pt idx="31">
                  <c:v>31.0</c:v>
                </c:pt>
              </c:numCache>
            </c:numRef>
          </c:val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75"/>
        <c:overlap val="100"/>
        <c:axId val="-2042511160"/>
        <c:axId val="-2042508712"/>
      </c:barChart>
      <c:catAx>
        <c:axId val="-2042511160"/>
        <c:scaling>
          <c:orientation val="minMax"/>
        </c:scaling>
        <c:delete val="0"/>
        <c:axPos val="l"/>
        <c:majorTickMark val="none"/>
        <c:minorTickMark val="none"/>
        <c:tickLblPos val="nextTo"/>
        <c:crossAx val="-2042508712"/>
        <c:crosses val="autoZero"/>
        <c:auto val="1"/>
        <c:lblAlgn val="ctr"/>
        <c:lblOffset val="100"/>
        <c:noMultiLvlLbl val="0"/>
      </c:catAx>
      <c:valAx>
        <c:axId val="-2042508712"/>
        <c:scaling>
          <c:orientation val="minMax"/>
        </c:scaling>
        <c:delete val="0"/>
        <c:axPos val="b"/>
        <c:numFmt formatCode="0%" sourceLinked="1"/>
        <c:majorTickMark val="none"/>
        <c:minorTickMark val="none"/>
        <c:tickLblPos val="nextTo"/>
        <c:crossAx val="-2042511160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CD7A942-9850-6141-B954-1DE2E86D0F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4</Pages>
  <Words>37</Words>
  <Characters>205</Characters>
  <Application>Microsoft Macintosh Word</Application>
  <DocSecurity>0</DocSecurity>
  <Lines>1</Lines>
  <Paragraphs>1</Paragraphs>
  <ScaleCrop>false</ScaleCrop>
  <Company/>
  <LinksUpToDate>false</LinksUpToDate>
  <CharactersWithSpaces>241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Antonio Zavala</dc:creator>
  <cp:keywords/>
  <dc:description/>
  <cp:lastModifiedBy>Antonio Zavala</cp:lastModifiedBy>
  <cp:revision>7</cp:revision>
  <dcterms:created xsi:type="dcterms:W3CDTF">2016-11-10T17:27:00Z</dcterms:created>
  <dcterms:modified xsi:type="dcterms:W3CDTF">2016-11-11T23:10:00Z</dcterms:modified>
</cp:coreProperties>
</file>