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8221BA" w14:textId="4532BA05" w:rsidR="00D06B1E" w:rsidRDefault="00D06B1E">
      <w:pPr>
        <w:rPr>
          <w:lang w:val="es-ES"/>
        </w:rPr>
      </w:pPr>
    </w:p>
    <w:p w14:paraId="17F11226" w14:textId="5EA7FD72" w:rsidR="003E6F17" w:rsidRDefault="00FA208F">
      <w:pPr>
        <w:rPr>
          <w:noProof/>
          <w:lang w:val="es-ES"/>
        </w:rPr>
      </w:pPr>
      <w:r>
        <w:rPr>
          <w:noProof/>
        </w:rPr>
        <w:lastRenderedPageBreak/>
        <w:t xml:space="preserve"> </w:t>
      </w:r>
      <w:r w:rsidR="008C0CA7">
        <w:rPr>
          <w:noProof/>
        </w:rPr>
        <w:drawing>
          <wp:inline distT="0" distB="0" distL="0" distR="0" wp14:anchorId="6DB2F420" wp14:editId="765E7217">
            <wp:extent cx="8572500" cy="5397500"/>
            <wp:effectExtent l="0" t="0" r="12700" b="12700"/>
            <wp:docPr id="11" name="Gráfico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55307752" w14:textId="4CB77FA7" w:rsidR="00FA208F" w:rsidRDefault="008C0CA7">
      <w:pPr>
        <w:rPr>
          <w:noProof/>
          <w:lang w:val="es-ES"/>
        </w:rPr>
      </w:pPr>
      <w:bookmarkStart w:id="0" w:name="_GoBack"/>
      <w:r>
        <w:rPr>
          <w:noProof/>
          <w:lang w:val="es-ES" w:eastAsia="es-ES"/>
        </w:rPr>
        <w:lastRenderedPageBreak/>
        <w:drawing>
          <wp:inline distT="0" distB="0" distL="0" distR="0" wp14:anchorId="36A9133E" wp14:editId="36BDA061">
            <wp:extent cx="8534400" cy="5588000"/>
            <wp:effectExtent l="0" t="0" r="25400" b="25400"/>
            <wp:docPr id="13" name="Gráfico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bookmarkEnd w:id="0"/>
    </w:p>
    <w:p w14:paraId="3F5E56B0" w14:textId="77777777" w:rsidR="00FA208F" w:rsidRDefault="00FA208F">
      <w:pPr>
        <w:rPr>
          <w:noProof/>
          <w:lang w:val="es-ES"/>
        </w:rPr>
      </w:pPr>
    </w:p>
    <w:p w14:paraId="213065DF" w14:textId="222E5E35" w:rsidR="00EA188F" w:rsidRDefault="00605B81">
      <w:pPr>
        <w:rPr>
          <w:noProof/>
          <w:lang w:val="es-ES"/>
        </w:rPr>
      </w:pPr>
      <w:r>
        <w:rPr>
          <w:noProof/>
        </w:rPr>
        <w:drawing>
          <wp:inline distT="0" distB="0" distL="0" distR="0" wp14:anchorId="67E0EE05" wp14:editId="7904ADCF">
            <wp:extent cx="8305800" cy="5595620"/>
            <wp:effectExtent l="0" t="0" r="25400" b="17780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7577E1FB" w14:textId="664C316D" w:rsidR="00FA208F" w:rsidRDefault="00EA188F">
      <w:pPr>
        <w:rPr>
          <w:noProof/>
          <w:lang w:val="es-ES"/>
        </w:rPr>
      </w:pPr>
      <w:r>
        <w:rPr>
          <w:noProof/>
          <w:lang w:val="es-ES"/>
        </w:rPr>
        <w:br w:type="column"/>
      </w:r>
      <w:r>
        <w:rPr>
          <w:noProof/>
        </w:rPr>
        <w:drawing>
          <wp:inline distT="0" distB="0" distL="0" distR="0" wp14:anchorId="141102E2" wp14:editId="32DC1CCA">
            <wp:extent cx="6324600" cy="5715000"/>
            <wp:effectExtent l="0" t="0" r="25400" b="25400"/>
            <wp:docPr id="3" name="Gráfico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A0CA740" w14:textId="14B7A3E8" w:rsidR="00FA208F" w:rsidRDefault="00FA208F">
      <w:pPr>
        <w:rPr>
          <w:lang w:val="es-ES"/>
        </w:rPr>
      </w:pPr>
    </w:p>
    <w:p w14:paraId="5BC349E7" w14:textId="14EF2632" w:rsidR="00A37DA8" w:rsidRPr="00FA208F" w:rsidRDefault="008C0CA7">
      <w:pPr>
        <w:rPr>
          <w:lang w:val="es-ES"/>
        </w:rPr>
      </w:pPr>
      <w:r>
        <w:rPr>
          <w:noProof/>
        </w:rPr>
        <w:drawing>
          <wp:inline distT="0" distB="0" distL="0" distR="0" wp14:anchorId="35990B08" wp14:editId="4BFF56BD">
            <wp:extent cx="8763000" cy="5920105"/>
            <wp:effectExtent l="0" t="0" r="25400" b="23495"/>
            <wp:docPr id="9" name="Gráfico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sectPr w:rsidR="00A37DA8" w:rsidRPr="00FA208F" w:rsidSect="002303FA">
      <w:pgSz w:w="15840" w:h="12240" w:orient="landscape"/>
      <w:pgMar w:top="1440" w:right="1440" w:bottom="1440" w:left="1440" w:header="708" w:footer="708" w:gutter="0"/>
      <w:cols w:space="708"/>
      <w:docGrid w:linePitch="4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DengXian"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20"/>
  <w:drawingGridVerticalSpacing w:val="20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F17"/>
    <w:rsid w:val="001F4A66"/>
    <w:rsid w:val="002303FA"/>
    <w:rsid w:val="002C0E08"/>
    <w:rsid w:val="00392B6F"/>
    <w:rsid w:val="0039343E"/>
    <w:rsid w:val="003D04C6"/>
    <w:rsid w:val="003E6F17"/>
    <w:rsid w:val="004F2C8C"/>
    <w:rsid w:val="005F1CFC"/>
    <w:rsid w:val="005F672B"/>
    <w:rsid w:val="00605B81"/>
    <w:rsid w:val="006728CA"/>
    <w:rsid w:val="006F3DF3"/>
    <w:rsid w:val="006F5156"/>
    <w:rsid w:val="007217A3"/>
    <w:rsid w:val="008C0CA7"/>
    <w:rsid w:val="008C710F"/>
    <w:rsid w:val="008F5680"/>
    <w:rsid w:val="00934D78"/>
    <w:rsid w:val="009A008A"/>
    <w:rsid w:val="00A37DA8"/>
    <w:rsid w:val="00B14DFC"/>
    <w:rsid w:val="00B70802"/>
    <w:rsid w:val="00CA4DA8"/>
    <w:rsid w:val="00D06B1E"/>
    <w:rsid w:val="00D316AB"/>
    <w:rsid w:val="00E95F19"/>
    <w:rsid w:val="00E95FCD"/>
    <w:rsid w:val="00EA188F"/>
    <w:rsid w:val="00F054BE"/>
    <w:rsid w:val="00FA2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8E394C2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34D7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4D78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8C0CA7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s-MX" w:eastAsia="es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34D7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4D78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8C0CA7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s-MX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66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chart" Target="charts/chart3.xml"/><Relationship Id="rId9" Type="http://schemas.openxmlformats.org/officeDocument/2006/relationships/chart" Target="charts/chart4.xml"/><Relationship Id="rId10" Type="http://schemas.openxmlformats.org/officeDocument/2006/relationships/chart" Target="charts/chart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MX" sz="1800" b="1" i="0" u="none" strike="noStrike" baseline="0">
                <a:effectLst/>
              </a:rPr>
              <a:t> </a:t>
            </a:r>
            <a:r>
              <a:rPr lang="es-ES" sz="1800" b="1" i="0" u="none" strike="noStrike" baseline="0">
                <a:effectLst/>
              </a:rPr>
              <a:t>Composición de oferta de MPC por clasificación por fines</a:t>
            </a:r>
            <a:endParaRPr lang="es-ES"/>
          </a:p>
        </c:rich>
      </c:tx>
      <c:layout/>
      <c:overlay val="0"/>
    </c:title>
    <c:autoTitleDeleted val="0"/>
    <c:plotArea>
      <c:layout/>
      <c:doughnutChart>
        <c:varyColors val="1"/>
        <c:ser>
          <c:idx val="0"/>
          <c:order val="0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Hoja8!$B$32:$B$36</c:f>
              <c:strCache>
                <c:ptCount val="5"/>
                <c:pt idx="0">
                  <c:v> Participacion simbolica</c:v>
                </c:pt>
                <c:pt idx="1">
                  <c:v> Participación Consultiva o selectiva e informada</c:v>
                </c:pt>
                <c:pt idx="2">
                  <c:v> Participación en decisiones iniciadas por la autoridad</c:v>
                </c:pt>
                <c:pt idx="3">
                  <c:v> Autoridad delegada a la ciudadanía</c:v>
                </c:pt>
                <c:pt idx="4">
                  <c:v>Autoridad directa</c:v>
                </c:pt>
              </c:strCache>
            </c:strRef>
          </c:cat>
          <c:val>
            <c:numRef>
              <c:f>Hoja8!$C$32:$C$36</c:f>
              <c:numCache>
                <c:formatCode>General</c:formatCode>
                <c:ptCount val="5"/>
                <c:pt idx="0">
                  <c:v>113.0</c:v>
                </c:pt>
                <c:pt idx="1">
                  <c:v>992.0</c:v>
                </c:pt>
                <c:pt idx="2">
                  <c:v>708.0</c:v>
                </c:pt>
                <c:pt idx="3">
                  <c:v>58.0</c:v>
                </c:pt>
                <c:pt idx="4">
                  <c:v>234.0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/>
              <a:t>Composición de la oferta de MPC a</a:t>
            </a:r>
            <a:r>
              <a:rPr lang="es-ES" baseline="0"/>
              <a:t> nivel nacional por clasificación basada en medios</a:t>
            </a:r>
            <a:endParaRPr lang="es-ES"/>
          </a:p>
        </c:rich>
      </c:tx>
      <c:layout/>
      <c:overlay val="0"/>
    </c:title>
    <c:autoTitleDeleted val="0"/>
    <c:plotArea>
      <c:layout/>
      <c:doughnutChart>
        <c:varyColors val="1"/>
        <c:ser>
          <c:idx val="0"/>
          <c:order val="0"/>
          <c:tx>
            <c:strRef>
              <c:f>Hoja8!$C$2</c:f>
              <c:strCache>
                <c:ptCount val="1"/>
                <c:pt idx="0">
                  <c:v>Total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Hoja8!$B$28:$B$31</c:f>
              <c:strCache>
                <c:ptCount val="4"/>
                <c:pt idx="0">
                  <c:v> Consultivos</c:v>
                </c:pt>
                <c:pt idx="1">
                  <c:v> Democracia Directa</c:v>
                </c:pt>
                <c:pt idx="2">
                  <c:v> Democracia Deliberativa</c:v>
                </c:pt>
                <c:pt idx="3">
                  <c:v> Atención Ciudadana </c:v>
                </c:pt>
              </c:strCache>
            </c:strRef>
          </c:cat>
          <c:val>
            <c:numRef>
              <c:f>Hoja8!$C$28:$C$31</c:f>
              <c:numCache>
                <c:formatCode>General</c:formatCode>
                <c:ptCount val="4"/>
                <c:pt idx="0">
                  <c:v>1264.0</c:v>
                </c:pt>
                <c:pt idx="1">
                  <c:v>619.0</c:v>
                </c:pt>
                <c:pt idx="2">
                  <c:v>206.0</c:v>
                </c:pt>
                <c:pt idx="3">
                  <c:v>16.0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'Con Normatividad'!$F$2</c:f>
              <c:strCache>
                <c:ptCount val="1"/>
                <c:pt idx="0">
                  <c:v>% municipios con normatividad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'Con Normatividad'!$B$3:$B$34</c:f>
              <c:strCache>
                <c:ptCount val="32"/>
                <c:pt idx="0">
                  <c:v>Baja California</c:v>
                </c:pt>
                <c:pt idx="1">
                  <c:v>Baja California Sur</c:v>
                </c:pt>
                <c:pt idx="2">
                  <c:v>Campeche</c:v>
                </c:pt>
                <c:pt idx="3">
                  <c:v>Morelos</c:v>
                </c:pt>
                <c:pt idx="4">
                  <c:v>Querétaro</c:v>
                </c:pt>
                <c:pt idx="5">
                  <c:v>Quintana Roo</c:v>
                </c:pt>
                <c:pt idx="6">
                  <c:v>México</c:v>
                </c:pt>
                <c:pt idx="7">
                  <c:v>Sonora</c:v>
                </c:pt>
                <c:pt idx="8">
                  <c:v>Guanajuato</c:v>
                </c:pt>
                <c:pt idx="9">
                  <c:v>Nayarit</c:v>
                </c:pt>
                <c:pt idx="10">
                  <c:v>Sinaloa</c:v>
                </c:pt>
                <c:pt idx="11">
                  <c:v>Tabasco</c:v>
                </c:pt>
                <c:pt idx="12">
                  <c:v>Distrito Federal</c:v>
                </c:pt>
                <c:pt idx="13">
                  <c:v>Michoacán</c:v>
                </c:pt>
                <c:pt idx="14">
                  <c:v>Nuevo León</c:v>
                </c:pt>
                <c:pt idx="15">
                  <c:v>Colima</c:v>
                </c:pt>
                <c:pt idx="16">
                  <c:v>Tlaxcala</c:v>
                </c:pt>
                <c:pt idx="17">
                  <c:v>Tamaulipas</c:v>
                </c:pt>
                <c:pt idx="18">
                  <c:v>San Luis Potosí</c:v>
                </c:pt>
                <c:pt idx="19">
                  <c:v>Durango</c:v>
                </c:pt>
                <c:pt idx="20">
                  <c:v>Coahuila</c:v>
                </c:pt>
                <c:pt idx="21">
                  <c:v>Zacatecas</c:v>
                </c:pt>
                <c:pt idx="22">
                  <c:v>Hidalgo</c:v>
                </c:pt>
                <c:pt idx="23">
                  <c:v>Chiapas</c:v>
                </c:pt>
                <c:pt idx="24">
                  <c:v>Yucatán</c:v>
                </c:pt>
                <c:pt idx="25">
                  <c:v>Chihuahua</c:v>
                </c:pt>
                <c:pt idx="26">
                  <c:v>Puebla</c:v>
                </c:pt>
                <c:pt idx="27">
                  <c:v>Jalisco</c:v>
                </c:pt>
                <c:pt idx="28">
                  <c:v>Veracruz</c:v>
                </c:pt>
                <c:pt idx="29">
                  <c:v>Aguascalientes</c:v>
                </c:pt>
                <c:pt idx="30">
                  <c:v>Oaxaca</c:v>
                </c:pt>
                <c:pt idx="31">
                  <c:v>Guerrero</c:v>
                </c:pt>
              </c:strCache>
            </c:strRef>
          </c:cat>
          <c:val>
            <c:numRef>
              <c:f>'Con Normatividad'!$F$3:$F$34</c:f>
              <c:numCache>
                <c:formatCode>0%</c:formatCode>
                <c:ptCount val="32"/>
                <c:pt idx="0">
                  <c:v>1.0</c:v>
                </c:pt>
                <c:pt idx="1">
                  <c:v>1.0</c:v>
                </c:pt>
                <c:pt idx="2">
                  <c:v>1.0</c:v>
                </c:pt>
                <c:pt idx="3">
                  <c:v>1.0</c:v>
                </c:pt>
                <c:pt idx="4">
                  <c:v>1.0</c:v>
                </c:pt>
                <c:pt idx="5">
                  <c:v>1.0</c:v>
                </c:pt>
                <c:pt idx="6">
                  <c:v>0.992</c:v>
                </c:pt>
                <c:pt idx="7">
                  <c:v>0.972222222222222</c:v>
                </c:pt>
                <c:pt idx="8">
                  <c:v>0.956521739130435</c:v>
                </c:pt>
                <c:pt idx="9">
                  <c:v>0.95</c:v>
                </c:pt>
                <c:pt idx="10">
                  <c:v>0.944444444444444</c:v>
                </c:pt>
                <c:pt idx="11">
                  <c:v>0.941176470588235</c:v>
                </c:pt>
                <c:pt idx="12">
                  <c:v>0.9375</c:v>
                </c:pt>
                <c:pt idx="13">
                  <c:v>0.929203539823009</c:v>
                </c:pt>
                <c:pt idx="14">
                  <c:v>0.92156862745098</c:v>
                </c:pt>
                <c:pt idx="15">
                  <c:v>0.9</c:v>
                </c:pt>
                <c:pt idx="16">
                  <c:v>0.8</c:v>
                </c:pt>
                <c:pt idx="17">
                  <c:v>0.744186046511628</c:v>
                </c:pt>
                <c:pt idx="18">
                  <c:v>0.672413793103448</c:v>
                </c:pt>
                <c:pt idx="19">
                  <c:v>0.666666666666667</c:v>
                </c:pt>
                <c:pt idx="20">
                  <c:v>0.657894736842105</c:v>
                </c:pt>
                <c:pt idx="21">
                  <c:v>0.655172413793103</c:v>
                </c:pt>
                <c:pt idx="22">
                  <c:v>0.595238095238095</c:v>
                </c:pt>
                <c:pt idx="23">
                  <c:v>0.466101694915254</c:v>
                </c:pt>
                <c:pt idx="24">
                  <c:v>0.443396226415094</c:v>
                </c:pt>
                <c:pt idx="25">
                  <c:v>0.432835820895522</c:v>
                </c:pt>
                <c:pt idx="26">
                  <c:v>0.400921658986175</c:v>
                </c:pt>
                <c:pt idx="27">
                  <c:v>0.32</c:v>
                </c:pt>
                <c:pt idx="28">
                  <c:v>0.212264150943396</c:v>
                </c:pt>
                <c:pt idx="29">
                  <c:v>0.181818181818182</c:v>
                </c:pt>
                <c:pt idx="30">
                  <c:v>0.110526315789474</c:v>
                </c:pt>
                <c:pt idx="31">
                  <c:v>0.0987654320987654</c:v>
                </c:pt>
              </c:numCache>
            </c:numRef>
          </c:val>
        </c:ser>
        <c:ser>
          <c:idx val="1"/>
          <c:order val="1"/>
          <c:tx>
            <c:strRef>
              <c:f>'Con Normatividad'!$G$2</c:f>
              <c:strCache>
                <c:ptCount val="1"/>
                <c:pt idx="0">
                  <c:v>% municipios con mecanismos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'Con Normatividad'!$B$3:$B$34</c:f>
              <c:strCache>
                <c:ptCount val="32"/>
                <c:pt idx="0">
                  <c:v>Baja California</c:v>
                </c:pt>
                <c:pt idx="1">
                  <c:v>Baja California Sur</c:v>
                </c:pt>
                <c:pt idx="2">
                  <c:v>Campeche</c:v>
                </c:pt>
                <c:pt idx="3">
                  <c:v>Morelos</c:v>
                </c:pt>
                <c:pt idx="4">
                  <c:v>Querétaro</c:v>
                </c:pt>
                <c:pt idx="5">
                  <c:v>Quintana Roo</c:v>
                </c:pt>
                <c:pt idx="6">
                  <c:v>México</c:v>
                </c:pt>
                <c:pt idx="7">
                  <c:v>Sonora</c:v>
                </c:pt>
                <c:pt idx="8">
                  <c:v>Guanajuato</c:v>
                </c:pt>
                <c:pt idx="9">
                  <c:v>Nayarit</c:v>
                </c:pt>
                <c:pt idx="10">
                  <c:v>Sinaloa</c:v>
                </c:pt>
                <c:pt idx="11">
                  <c:v>Tabasco</c:v>
                </c:pt>
                <c:pt idx="12">
                  <c:v>Distrito Federal</c:v>
                </c:pt>
                <c:pt idx="13">
                  <c:v>Michoacán</c:v>
                </c:pt>
                <c:pt idx="14">
                  <c:v>Nuevo León</c:v>
                </c:pt>
                <c:pt idx="15">
                  <c:v>Colima</c:v>
                </c:pt>
                <c:pt idx="16">
                  <c:v>Tlaxcala</c:v>
                </c:pt>
                <c:pt idx="17">
                  <c:v>Tamaulipas</c:v>
                </c:pt>
                <c:pt idx="18">
                  <c:v>San Luis Potosí</c:v>
                </c:pt>
                <c:pt idx="19">
                  <c:v>Durango</c:v>
                </c:pt>
                <c:pt idx="20">
                  <c:v>Coahuila</c:v>
                </c:pt>
                <c:pt idx="21">
                  <c:v>Zacatecas</c:v>
                </c:pt>
                <c:pt idx="22">
                  <c:v>Hidalgo</c:v>
                </c:pt>
                <c:pt idx="23">
                  <c:v>Chiapas</c:v>
                </c:pt>
                <c:pt idx="24">
                  <c:v>Yucatán</c:v>
                </c:pt>
                <c:pt idx="25">
                  <c:v>Chihuahua</c:v>
                </c:pt>
                <c:pt idx="26">
                  <c:v>Puebla</c:v>
                </c:pt>
                <c:pt idx="27">
                  <c:v>Jalisco</c:v>
                </c:pt>
                <c:pt idx="28">
                  <c:v>Veracruz</c:v>
                </c:pt>
                <c:pt idx="29">
                  <c:v>Aguascalientes</c:v>
                </c:pt>
                <c:pt idx="30">
                  <c:v>Oaxaca</c:v>
                </c:pt>
                <c:pt idx="31">
                  <c:v>Guerrero</c:v>
                </c:pt>
              </c:strCache>
            </c:strRef>
          </c:cat>
          <c:val>
            <c:numRef>
              <c:f>'Con Normatividad'!$G$3:$G$34</c:f>
              <c:numCache>
                <c:formatCode>0%</c:formatCode>
                <c:ptCount val="32"/>
                <c:pt idx="0">
                  <c:v>0.2</c:v>
                </c:pt>
                <c:pt idx="1">
                  <c:v>0.2</c:v>
                </c:pt>
                <c:pt idx="2">
                  <c:v>1.0</c:v>
                </c:pt>
                <c:pt idx="3">
                  <c:v>0.939393939393939</c:v>
                </c:pt>
                <c:pt idx="4">
                  <c:v>1.0</c:v>
                </c:pt>
                <c:pt idx="5">
                  <c:v>0.777777777777778</c:v>
                </c:pt>
                <c:pt idx="6">
                  <c:v>0.952</c:v>
                </c:pt>
                <c:pt idx="7">
                  <c:v>0.847222222222222</c:v>
                </c:pt>
                <c:pt idx="8">
                  <c:v>0.195652173913043</c:v>
                </c:pt>
                <c:pt idx="9">
                  <c:v>0.65</c:v>
                </c:pt>
                <c:pt idx="10">
                  <c:v>0.333333333333333</c:v>
                </c:pt>
                <c:pt idx="11">
                  <c:v>0.941176470588235</c:v>
                </c:pt>
                <c:pt idx="12">
                  <c:v>0.8125</c:v>
                </c:pt>
                <c:pt idx="13">
                  <c:v>0.690265486725664</c:v>
                </c:pt>
                <c:pt idx="14">
                  <c:v>0.274509803921569</c:v>
                </c:pt>
                <c:pt idx="15">
                  <c:v>0.4</c:v>
                </c:pt>
                <c:pt idx="16">
                  <c:v>0.683333333333333</c:v>
                </c:pt>
                <c:pt idx="17">
                  <c:v>0.13953488372093</c:v>
                </c:pt>
                <c:pt idx="18">
                  <c:v>0.0862068965517241</c:v>
                </c:pt>
                <c:pt idx="19">
                  <c:v>0.564102564102564</c:v>
                </c:pt>
                <c:pt idx="20">
                  <c:v>0.447368421052632</c:v>
                </c:pt>
                <c:pt idx="21">
                  <c:v>0.603448275862069</c:v>
                </c:pt>
                <c:pt idx="22">
                  <c:v>0.464285714285714</c:v>
                </c:pt>
                <c:pt idx="23">
                  <c:v>0.35593220338983</c:v>
                </c:pt>
                <c:pt idx="24">
                  <c:v>0.443396226415094</c:v>
                </c:pt>
                <c:pt idx="25">
                  <c:v>0.134328358208955</c:v>
                </c:pt>
                <c:pt idx="26">
                  <c:v>0.00921658986175115</c:v>
                </c:pt>
                <c:pt idx="27">
                  <c:v>0.272</c:v>
                </c:pt>
                <c:pt idx="28">
                  <c:v>0.160377358490566</c:v>
                </c:pt>
                <c:pt idx="29">
                  <c:v>0.181818181818182</c:v>
                </c:pt>
                <c:pt idx="30">
                  <c:v>0.0543859649122807</c:v>
                </c:pt>
                <c:pt idx="31">
                  <c:v>0.0987654320987654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-2098763976"/>
        <c:axId val="-2028272760"/>
      </c:barChart>
      <c:catAx>
        <c:axId val="-2098763976"/>
        <c:scaling>
          <c:orientation val="minMax"/>
        </c:scaling>
        <c:delete val="0"/>
        <c:axPos val="l"/>
        <c:majorTickMark val="none"/>
        <c:minorTickMark val="none"/>
        <c:tickLblPos val="nextTo"/>
        <c:txPr>
          <a:bodyPr/>
          <a:lstStyle/>
          <a:p>
            <a:pPr>
              <a:defRPr sz="900"/>
            </a:pPr>
            <a:endParaRPr lang="es-ES"/>
          </a:p>
        </c:txPr>
        <c:crossAx val="-2028272760"/>
        <c:crosses val="autoZero"/>
        <c:auto val="1"/>
        <c:lblAlgn val="ctr"/>
        <c:lblOffset val="100"/>
        <c:noMultiLvlLbl val="0"/>
      </c:catAx>
      <c:valAx>
        <c:axId val="-2028272760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098763976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/>
              <a:t>Frecuencia</a:t>
            </a:r>
            <a:r>
              <a:rPr lang="es-ES" baseline="0"/>
              <a:t> de MPC en el País</a:t>
            </a:r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Mecanismo'!$D$3</c:f>
              <c:strCache>
                <c:ptCount val="1"/>
                <c:pt idx="0">
                  <c:v>Total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'Por Mecanismo'!$C$4:$C$21</c:f>
              <c:strCache>
                <c:ptCount val="18"/>
                <c:pt idx="0">
                  <c:v>Constulta Popular</c:v>
                </c:pt>
                <c:pt idx="1">
                  <c:v>Consejo de participación social</c:v>
                </c:pt>
                <c:pt idx="2">
                  <c:v>COPLADEMUN</c:v>
                </c:pt>
                <c:pt idx="3">
                  <c:v>Consejo o comités consultivos</c:v>
                </c:pt>
                <c:pt idx="4">
                  <c:v>Iniciativa popular</c:v>
                </c:pt>
                <c:pt idx="5">
                  <c:v>Plebiscito</c:v>
                </c:pt>
                <c:pt idx="6">
                  <c:v>Referendum</c:v>
                </c:pt>
                <c:pt idx="7">
                  <c:v>Consejo de desarrollo municipal</c:v>
                </c:pt>
                <c:pt idx="8">
                  <c:v>Audiencia Pública</c:v>
                </c:pt>
                <c:pt idx="9">
                  <c:v>Cabildo a Sesión Abierta</c:v>
                </c:pt>
                <c:pt idx="10">
                  <c:v>Consejo o comités deliberativos</c:v>
                </c:pt>
                <c:pt idx="11">
                  <c:v>Asamblea Ciudadana</c:v>
                </c:pt>
                <c:pt idx="12">
                  <c:v>Contraloría Ciudadana</c:v>
                </c:pt>
                <c:pt idx="13">
                  <c:v>Presupuesto Participativo</c:v>
                </c:pt>
                <c:pt idx="14">
                  <c:v>Revocación de Mandato</c:v>
                </c:pt>
                <c:pt idx="15">
                  <c:v>Consejo o comités vinculantes</c:v>
                </c:pt>
                <c:pt idx="16">
                  <c:v>Jurado ciudadano</c:v>
                </c:pt>
                <c:pt idx="17">
                  <c:v>Defensoría ciudadana</c:v>
                </c:pt>
              </c:strCache>
            </c:strRef>
          </c:cat>
          <c:val>
            <c:numRef>
              <c:f>'Por Mecanismo'!$D$4:$D$21</c:f>
              <c:numCache>
                <c:formatCode>General</c:formatCode>
                <c:ptCount val="18"/>
                <c:pt idx="0">
                  <c:v>336.0</c:v>
                </c:pt>
                <c:pt idx="1">
                  <c:v>307.0</c:v>
                </c:pt>
                <c:pt idx="2">
                  <c:v>276.0</c:v>
                </c:pt>
                <c:pt idx="3">
                  <c:v>256.0</c:v>
                </c:pt>
                <c:pt idx="4">
                  <c:v>234.0</c:v>
                </c:pt>
                <c:pt idx="5">
                  <c:v>187.0</c:v>
                </c:pt>
                <c:pt idx="6">
                  <c:v>185.0</c:v>
                </c:pt>
                <c:pt idx="7">
                  <c:v>89.0</c:v>
                </c:pt>
                <c:pt idx="8">
                  <c:v>66.0</c:v>
                </c:pt>
                <c:pt idx="9">
                  <c:v>47.0</c:v>
                </c:pt>
                <c:pt idx="10">
                  <c:v>42.0</c:v>
                </c:pt>
                <c:pt idx="11">
                  <c:v>22.0</c:v>
                </c:pt>
                <c:pt idx="12">
                  <c:v>15.0</c:v>
                </c:pt>
                <c:pt idx="13">
                  <c:v>15.0</c:v>
                </c:pt>
                <c:pt idx="14">
                  <c:v>13.0</c:v>
                </c:pt>
                <c:pt idx="15">
                  <c:v>8.0</c:v>
                </c:pt>
                <c:pt idx="16">
                  <c:v>6.0</c:v>
                </c:pt>
                <c:pt idx="17">
                  <c:v>1.0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028505096"/>
        <c:axId val="-2098976248"/>
      </c:barChart>
      <c:catAx>
        <c:axId val="-2028505096"/>
        <c:scaling>
          <c:orientation val="minMax"/>
        </c:scaling>
        <c:delete val="0"/>
        <c:axPos val="l"/>
        <c:majorTickMark val="out"/>
        <c:minorTickMark val="none"/>
        <c:tickLblPos val="nextTo"/>
        <c:crossAx val="-2098976248"/>
        <c:crosses val="autoZero"/>
        <c:auto val="1"/>
        <c:lblAlgn val="ctr"/>
        <c:lblOffset val="100"/>
        <c:noMultiLvlLbl val="0"/>
      </c:catAx>
      <c:valAx>
        <c:axId val="-2098976248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-202850509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/>
              <a:t>Composición de la oferta</a:t>
            </a:r>
            <a:r>
              <a:rPr lang="es-ES" baseline="0"/>
              <a:t> de MPC a nivel Nacional</a:t>
            </a:r>
            <a:endParaRPr lang="es-ES"/>
          </a:p>
        </c:rich>
      </c:tx>
      <c:layout/>
      <c:overlay val="0"/>
    </c:title>
    <c:autoTitleDeleted val="0"/>
    <c:plotArea>
      <c:layout/>
      <c:doughnutChart>
        <c:varyColors val="1"/>
        <c:ser>
          <c:idx val="0"/>
          <c:order val="0"/>
          <c:tx>
            <c:strRef>
              <c:f>Hoja8!$C$2</c:f>
              <c:strCache>
                <c:ptCount val="1"/>
                <c:pt idx="0">
                  <c:v>Total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Hoja8!$B$3:$B$20</c:f>
              <c:strCache>
                <c:ptCount val="18"/>
                <c:pt idx="0">
                  <c:v> Referendum</c:v>
                </c:pt>
                <c:pt idx="1">
                  <c:v> Plebiscito</c:v>
                </c:pt>
                <c:pt idx="2">
                  <c:v> Iniciativa Popular</c:v>
                </c:pt>
                <c:pt idx="3">
                  <c:v> Consulta popular</c:v>
                </c:pt>
                <c:pt idx="4">
                  <c:v> Revocación de Mandato</c:v>
                </c:pt>
                <c:pt idx="5">
                  <c:v> Contraloría ciudadana</c:v>
                </c:pt>
                <c:pt idx="6">
                  <c:v> Presupuesto Participativo</c:v>
                </c:pt>
                <c:pt idx="7">
                  <c:v> Audiencia Pública</c:v>
                </c:pt>
                <c:pt idx="8">
                  <c:v> Asamblea Ciudadana</c:v>
                </c:pt>
                <c:pt idx="9">
                  <c:v> Cabildo a sesión abierta</c:v>
                </c:pt>
                <c:pt idx="10">
                  <c:v> Consejos o comites consultivos</c:v>
                </c:pt>
                <c:pt idx="11">
                  <c:v> Consejos o comités deliberativos</c:v>
                </c:pt>
                <c:pt idx="12">
                  <c:v> Consejos o comités vinculantes</c:v>
                </c:pt>
                <c:pt idx="13">
                  <c:v> Consejo de participación social</c:v>
                </c:pt>
                <c:pt idx="14">
                  <c:v> Consejo de desarrollo municipal</c:v>
                </c:pt>
                <c:pt idx="15">
                  <c:v> Coplademum</c:v>
                </c:pt>
                <c:pt idx="16">
                  <c:v> Defensoría ciudadana</c:v>
                </c:pt>
                <c:pt idx="17">
                  <c:v> Jurados ciudadanos</c:v>
                </c:pt>
              </c:strCache>
            </c:strRef>
          </c:cat>
          <c:val>
            <c:numRef>
              <c:f>Hoja8!$C$3:$C$20</c:f>
              <c:numCache>
                <c:formatCode>General</c:formatCode>
                <c:ptCount val="18"/>
                <c:pt idx="0">
                  <c:v>185.0</c:v>
                </c:pt>
                <c:pt idx="1">
                  <c:v>187.0</c:v>
                </c:pt>
                <c:pt idx="2">
                  <c:v>234.0</c:v>
                </c:pt>
                <c:pt idx="3">
                  <c:v>336.0</c:v>
                </c:pt>
                <c:pt idx="4">
                  <c:v>13.0</c:v>
                </c:pt>
                <c:pt idx="5">
                  <c:v>15.0</c:v>
                </c:pt>
                <c:pt idx="6">
                  <c:v>15.0</c:v>
                </c:pt>
                <c:pt idx="7">
                  <c:v>66.0</c:v>
                </c:pt>
                <c:pt idx="8">
                  <c:v>22.0</c:v>
                </c:pt>
                <c:pt idx="9">
                  <c:v>47.0</c:v>
                </c:pt>
                <c:pt idx="10">
                  <c:v>256.0</c:v>
                </c:pt>
                <c:pt idx="11">
                  <c:v>42.0</c:v>
                </c:pt>
                <c:pt idx="12">
                  <c:v>8.0</c:v>
                </c:pt>
                <c:pt idx="13">
                  <c:v>307.0</c:v>
                </c:pt>
                <c:pt idx="14">
                  <c:v>89.0</c:v>
                </c:pt>
                <c:pt idx="15">
                  <c:v>276.0</c:v>
                </c:pt>
                <c:pt idx="16">
                  <c:v>1.0</c:v>
                </c:pt>
                <c:pt idx="17">
                  <c:v>6.0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38295F7-48C3-CC48-B584-2E68061E0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</Words>
  <Characters>13</Characters>
  <Application>Microsoft Macintosh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Montoya Aguirre</dc:creator>
  <cp:keywords/>
  <dc:description/>
  <cp:lastModifiedBy>Antonio Zavala</cp:lastModifiedBy>
  <cp:revision>2</cp:revision>
  <dcterms:created xsi:type="dcterms:W3CDTF">2016-11-11T12:41:00Z</dcterms:created>
  <dcterms:modified xsi:type="dcterms:W3CDTF">2016-11-11T12:41:00Z</dcterms:modified>
</cp:coreProperties>
</file>